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9CFC3" w14:textId="77777777" w:rsidR="0088264B"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Formulário de Análise de Gramática</w:t>
      </w:r>
    </w:p>
    <w:p w14:paraId="2C445A10" w14:textId="035D729A" w:rsidR="0088264B"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AYER, Cyprien (18</w:t>
      </w:r>
      <w:r w:rsidR="00D55C07">
        <w:rPr>
          <w:rFonts w:ascii="Times New Roman" w:eastAsia="Times New Roman" w:hAnsi="Times New Roman" w:cs="Times New Roman"/>
          <w:b/>
          <w:sz w:val="30"/>
          <w:szCs w:val="30"/>
        </w:rPr>
        <w:t>76</w:t>
      </w:r>
      <w:r>
        <w:rPr>
          <w:rFonts w:ascii="Times New Roman" w:eastAsia="Times New Roman" w:hAnsi="Times New Roman" w:cs="Times New Roman"/>
          <w:b/>
          <w:sz w:val="30"/>
          <w:szCs w:val="30"/>
        </w:rPr>
        <w:t>)</w:t>
      </w:r>
    </w:p>
    <w:p w14:paraId="553FD2B5" w14:textId="77777777" w:rsidR="0088264B" w:rsidRDefault="0088264B">
      <w:pPr>
        <w:spacing w:line="240" w:lineRule="auto"/>
        <w:jc w:val="center"/>
        <w:rPr>
          <w:rFonts w:ascii="Times New Roman" w:eastAsia="Times New Roman" w:hAnsi="Times New Roman" w:cs="Times New Roman"/>
          <w:b/>
          <w:sz w:val="30"/>
          <w:szCs w:val="30"/>
        </w:rPr>
      </w:pPr>
    </w:p>
    <w:p w14:paraId="0C833AC1" w14:textId="77777777" w:rsidR="0088264B" w:rsidRDefault="0088264B">
      <w:pPr>
        <w:spacing w:line="240" w:lineRule="auto"/>
        <w:jc w:val="center"/>
        <w:rPr>
          <w:rFonts w:ascii="Times New Roman" w:eastAsia="Times New Roman" w:hAnsi="Times New Roman" w:cs="Times New Roman"/>
          <w:sz w:val="16"/>
          <w:szCs w:val="16"/>
        </w:rPr>
      </w:pPr>
    </w:p>
    <w:tbl>
      <w:tblPr>
        <w:tblStyle w:val="a1"/>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3255"/>
        <w:gridCol w:w="5685"/>
      </w:tblGrid>
      <w:tr w:rsidR="0088264B" w14:paraId="23BF081F" w14:textId="77777777">
        <w:trPr>
          <w:trHeight w:val="230"/>
        </w:trPr>
        <w:tc>
          <w:tcPr>
            <w:tcW w:w="10065" w:type="dxa"/>
            <w:gridSpan w:val="3"/>
            <w:tcBorders>
              <w:bottom w:val="single" w:sz="4" w:space="0" w:color="000000"/>
            </w:tcBorders>
            <w:shd w:val="clear" w:color="auto" w:fill="93CDDC"/>
            <w:tcMar>
              <w:top w:w="100" w:type="dxa"/>
              <w:left w:w="100" w:type="dxa"/>
              <w:bottom w:w="100" w:type="dxa"/>
              <w:right w:w="100" w:type="dxa"/>
            </w:tcMar>
          </w:tcPr>
          <w:p w14:paraId="2171BF2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Domínio</w:t>
            </w:r>
          </w:p>
        </w:tc>
      </w:tr>
      <w:tr w:rsidR="0088264B" w14:paraId="188D6041" w14:textId="77777777">
        <w:trPr>
          <w:trHeight w:val="17"/>
        </w:trPr>
        <w:tc>
          <w:tcPr>
            <w:tcW w:w="10065" w:type="dxa"/>
            <w:gridSpan w:val="3"/>
            <w:tcBorders>
              <w:top w:val="single" w:sz="4" w:space="0" w:color="000000"/>
            </w:tcBorders>
            <w:tcMar>
              <w:top w:w="100" w:type="dxa"/>
              <w:left w:w="100" w:type="dxa"/>
              <w:bottom w:w="100" w:type="dxa"/>
              <w:right w:w="100" w:type="dxa"/>
            </w:tcMar>
          </w:tcPr>
          <w:p w14:paraId="72A755A4" w14:textId="77777777" w:rsidR="0088264B" w:rsidRDefault="00000000">
            <w:pPr>
              <w:widowControl w:val="0"/>
              <w:pBdr>
                <w:top w:val="nil"/>
                <w:left w:val="nil"/>
                <w:bottom w:val="nil"/>
                <w:right w:val="nil"/>
                <w:between w:val="nil"/>
              </w:pBdr>
              <w:spacing w:line="240" w:lineRule="auto"/>
              <w:ind w:left="288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Línguas neolatinas</w:t>
            </w:r>
          </w:p>
        </w:tc>
      </w:tr>
      <w:tr w:rsidR="0088264B" w14:paraId="0DFA6FBD" w14:textId="77777777">
        <w:trPr>
          <w:trHeight w:val="87"/>
        </w:trPr>
        <w:tc>
          <w:tcPr>
            <w:tcW w:w="10065" w:type="dxa"/>
            <w:gridSpan w:val="3"/>
            <w:tcBorders>
              <w:bottom w:val="single" w:sz="4" w:space="0" w:color="000000"/>
            </w:tcBorders>
            <w:shd w:val="clear" w:color="auto" w:fill="93CDDC"/>
            <w:tcMar>
              <w:top w:w="100" w:type="dxa"/>
              <w:left w:w="100" w:type="dxa"/>
              <w:bottom w:w="100" w:type="dxa"/>
              <w:right w:w="100" w:type="dxa"/>
            </w:tcMar>
          </w:tcPr>
          <w:p w14:paraId="02B251D8"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sz w:val="24"/>
                <w:szCs w:val="24"/>
              </w:rPr>
              <w:t>Classificação</w:t>
            </w:r>
          </w:p>
        </w:tc>
      </w:tr>
      <w:tr w:rsidR="0088264B" w14:paraId="3DF30215" w14:textId="77777777">
        <w:trPr>
          <w:trHeight w:val="60"/>
        </w:trPr>
        <w:tc>
          <w:tcPr>
            <w:tcW w:w="10065" w:type="dxa"/>
            <w:gridSpan w:val="3"/>
            <w:tcBorders>
              <w:top w:val="single" w:sz="4" w:space="0" w:color="000000"/>
            </w:tcBorders>
            <w:tcMar>
              <w:top w:w="100" w:type="dxa"/>
              <w:left w:w="100" w:type="dxa"/>
              <w:bottom w:w="100" w:type="dxa"/>
              <w:right w:w="100" w:type="dxa"/>
            </w:tcMar>
          </w:tcPr>
          <w:p w14:paraId="5B9D55D7" w14:textId="597EAEE1"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Gramática </w:t>
            </w:r>
            <w:r w:rsidR="00EA2124">
              <w:rPr>
                <w:rFonts w:ascii="Times New Roman" w:eastAsia="Times New Roman" w:hAnsi="Times New Roman" w:cs="Times New Roman"/>
                <w:sz w:val="24"/>
                <w:szCs w:val="24"/>
              </w:rPr>
              <w:t>suiça</w:t>
            </w:r>
          </w:p>
        </w:tc>
      </w:tr>
      <w:tr w:rsidR="0088264B" w14:paraId="570F84CB" w14:textId="77777777">
        <w:trPr>
          <w:trHeight w:val="20"/>
        </w:trPr>
        <w:tc>
          <w:tcPr>
            <w:tcW w:w="10065" w:type="dxa"/>
            <w:gridSpan w:val="3"/>
            <w:tcBorders>
              <w:bottom w:val="single" w:sz="4" w:space="0" w:color="000000"/>
            </w:tcBorders>
            <w:shd w:val="clear" w:color="auto" w:fill="93CDDC"/>
            <w:tcMar>
              <w:top w:w="100" w:type="dxa"/>
              <w:left w:w="100" w:type="dxa"/>
              <w:bottom w:w="100" w:type="dxa"/>
              <w:right w:w="100" w:type="dxa"/>
            </w:tcMar>
          </w:tcPr>
          <w:p w14:paraId="2EA3A57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sz w:val="24"/>
                <w:szCs w:val="24"/>
              </w:rPr>
              <w:t>Período</w:t>
            </w:r>
          </w:p>
        </w:tc>
      </w:tr>
      <w:tr w:rsidR="0088264B" w14:paraId="3595F4CE" w14:textId="77777777">
        <w:trPr>
          <w:trHeight w:val="210"/>
        </w:trPr>
        <w:tc>
          <w:tcPr>
            <w:tcW w:w="10065" w:type="dxa"/>
            <w:gridSpan w:val="3"/>
            <w:tcBorders>
              <w:top w:val="single" w:sz="4" w:space="0" w:color="000000"/>
            </w:tcBorders>
            <w:tcMar>
              <w:top w:w="100" w:type="dxa"/>
              <w:left w:w="100" w:type="dxa"/>
              <w:bottom w:w="100" w:type="dxa"/>
              <w:right w:w="100" w:type="dxa"/>
            </w:tcMar>
          </w:tcPr>
          <w:p w14:paraId="0966534A" w14:textId="721C8A9E"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Séc. XIX</w:t>
            </w:r>
          </w:p>
        </w:tc>
      </w:tr>
      <w:tr w:rsidR="0088264B" w14:paraId="4C0B0114" w14:textId="77777777">
        <w:trPr>
          <w:trHeight w:val="258"/>
        </w:trPr>
        <w:tc>
          <w:tcPr>
            <w:tcW w:w="10065" w:type="dxa"/>
            <w:gridSpan w:val="3"/>
            <w:tcBorders>
              <w:bottom w:val="single" w:sz="4" w:space="0" w:color="000000"/>
            </w:tcBorders>
            <w:shd w:val="clear" w:color="auto" w:fill="93CDDC"/>
            <w:tcMar>
              <w:top w:w="100" w:type="dxa"/>
              <w:left w:w="100" w:type="dxa"/>
              <w:bottom w:w="100" w:type="dxa"/>
              <w:right w:w="100" w:type="dxa"/>
            </w:tcMar>
          </w:tcPr>
          <w:p w14:paraId="54DD6225"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 xml:space="preserve">Autoria </w:t>
            </w:r>
          </w:p>
        </w:tc>
      </w:tr>
      <w:tr w:rsidR="0088264B" w14:paraId="0E18E157" w14:textId="77777777">
        <w:trPr>
          <w:trHeight w:val="375"/>
        </w:trPr>
        <w:tc>
          <w:tcPr>
            <w:tcW w:w="1125" w:type="dxa"/>
            <w:tcBorders>
              <w:left w:val="nil"/>
              <w:bottom w:val="nil"/>
            </w:tcBorders>
          </w:tcPr>
          <w:p w14:paraId="5D353BB9"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5E4111C8"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SOBRENOME, Nome</w:t>
            </w:r>
          </w:p>
        </w:tc>
        <w:tc>
          <w:tcPr>
            <w:tcW w:w="5685" w:type="dxa"/>
            <w:tcBorders>
              <w:top w:val="single" w:sz="4" w:space="0" w:color="000000"/>
              <w:bottom w:val="single" w:sz="4" w:space="0" w:color="000000"/>
            </w:tcBorders>
            <w:tcMar>
              <w:top w:w="100" w:type="dxa"/>
              <w:left w:w="100" w:type="dxa"/>
              <w:bottom w:w="100" w:type="dxa"/>
              <w:right w:w="100" w:type="dxa"/>
            </w:tcMar>
          </w:tcPr>
          <w:p w14:paraId="0153FCE0"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AYER, Nicolas Louis Cyprien </w:t>
            </w:r>
          </w:p>
        </w:tc>
      </w:tr>
      <w:tr w:rsidR="0088264B" w14:paraId="684EAA22" w14:textId="77777777">
        <w:trPr>
          <w:trHeight w:val="275"/>
        </w:trPr>
        <w:tc>
          <w:tcPr>
            <w:tcW w:w="1125" w:type="dxa"/>
            <w:tcBorders>
              <w:top w:val="nil"/>
              <w:left w:val="nil"/>
              <w:bottom w:val="nil"/>
            </w:tcBorders>
          </w:tcPr>
          <w:p w14:paraId="6B89706A"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12AA857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5685" w:type="dxa"/>
            <w:tcBorders>
              <w:top w:val="single" w:sz="4" w:space="0" w:color="000000"/>
              <w:bottom w:val="single" w:sz="4" w:space="0" w:color="000000"/>
            </w:tcBorders>
            <w:tcMar>
              <w:top w:w="100" w:type="dxa"/>
              <w:left w:w="100" w:type="dxa"/>
              <w:bottom w:w="100" w:type="dxa"/>
              <w:right w:w="100" w:type="dxa"/>
            </w:tcMar>
          </w:tcPr>
          <w:p w14:paraId="32CFC894"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1825/03/12</w:t>
            </w:r>
          </w:p>
        </w:tc>
      </w:tr>
      <w:tr w:rsidR="0088264B" w14:paraId="563B9F61" w14:textId="77777777">
        <w:trPr>
          <w:trHeight w:val="211"/>
        </w:trPr>
        <w:tc>
          <w:tcPr>
            <w:tcW w:w="1125" w:type="dxa"/>
            <w:tcBorders>
              <w:top w:val="nil"/>
              <w:left w:val="nil"/>
              <w:bottom w:val="nil"/>
            </w:tcBorders>
          </w:tcPr>
          <w:p w14:paraId="2CE1C86C"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6CD2AA8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falecimento</w:t>
            </w:r>
          </w:p>
        </w:tc>
        <w:tc>
          <w:tcPr>
            <w:tcW w:w="5685" w:type="dxa"/>
            <w:tcBorders>
              <w:top w:val="single" w:sz="4" w:space="0" w:color="000000"/>
              <w:bottom w:val="single" w:sz="4" w:space="0" w:color="000000"/>
            </w:tcBorders>
            <w:tcMar>
              <w:top w:w="100" w:type="dxa"/>
              <w:left w:w="100" w:type="dxa"/>
              <w:bottom w:w="100" w:type="dxa"/>
              <w:right w:w="100" w:type="dxa"/>
            </w:tcMar>
          </w:tcPr>
          <w:p w14:paraId="68E5E2D3" w14:textId="77777777" w:rsidR="0088264B" w:rsidRDefault="00000000">
            <w:pPr>
              <w:widowControl w:val="0"/>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1884/09/08</w:t>
            </w:r>
          </w:p>
        </w:tc>
      </w:tr>
      <w:tr w:rsidR="0088264B" w14:paraId="51B84D08" w14:textId="77777777">
        <w:trPr>
          <w:trHeight w:val="38"/>
        </w:trPr>
        <w:tc>
          <w:tcPr>
            <w:tcW w:w="1125" w:type="dxa"/>
            <w:tcBorders>
              <w:top w:val="nil"/>
              <w:left w:val="nil"/>
              <w:bottom w:val="nil"/>
            </w:tcBorders>
          </w:tcPr>
          <w:p w14:paraId="485E2733"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5F12BCFF"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Nacionalidade</w:t>
            </w:r>
          </w:p>
        </w:tc>
        <w:tc>
          <w:tcPr>
            <w:tcW w:w="5685" w:type="dxa"/>
            <w:tcBorders>
              <w:top w:val="single" w:sz="4" w:space="0" w:color="000000"/>
              <w:bottom w:val="single" w:sz="4" w:space="0" w:color="000000"/>
            </w:tcBorders>
            <w:tcMar>
              <w:top w:w="100" w:type="dxa"/>
              <w:left w:w="100" w:type="dxa"/>
              <w:bottom w:w="100" w:type="dxa"/>
              <w:right w:w="100" w:type="dxa"/>
            </w:tcMar>
          </w:tcPr>
          <w:p w14:paraId="6CE96AEF"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Suíça</w:t>
            </w:r>
          </w:p>
        </w:tc>
      </w:tr>
      <w:tr w:rsidR="0088264B" w14:paraId="7EA0EB18" w14:textId="77777777">
        <w:trPr>
          <w:trHeight w:val="97"/>
        </w:trPr>
        <w:tc>
          <w:tcPr>
            <w:tcW w:w="1125" w:type="dxa"/>
            <w:tcBorders>
              <w:top w:val="nil"/>
              <w:left w:val="nil"/>
              <w:bottom w:val="nil"/>
            </w:tcBorders>
          </w:tcPr>
          <w:p w14:paraId="26700FA3"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3414B0F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c>
          <w:tcPr>
            <w:tcW w:w="5685" w:type="dxa"/>
            <w:tcBorders>
              <w:top w:val="single" w:sz="4" w:space="0" w:color="000000"/>
              <w:bottom w:val="single" w:sz="4" w:space="0" w:color="000000"/>
            </w:tcBorders>
            <w:tcMar>
              <w:top w:w="100" w:type="dxa"/>
              <w:left w:w="100" w:type="dxa"/>
              <w:bottom w:w="100" w:type="dxa"/>
              <w:right w:w="100" w:type="dxa"/>
            </w:tcMar>
          </w:tcPr>
          <w:p w14:paraId="18D6AC69"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Comuna de Sorens no cantão Friburgo</w:t>
            </w:r>
          </w:p>
        </w:tc>
      </w:tr>
      <w:tr w:rsidR="0088264B" w14:paraId="2BC50AC3" w14:textId="77777777">
        <w:trPr>
          <w:trHeight w:val="175"/>
        </w:trPr>
        <w:tc>
          <w:tcPr>
            <w:tcW w:w="1125" w:type="dxa"/>
            <w:tcBorders>
              <w:top w:val="nil"/>
              <w:left w:val="nil"/>
              <w:bottom w:val="nil"/>
            </w:tcBorders>
          </w:tcPr>
          <w:p w14:paraId="7E67E556"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72D60A8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Naturalização</w:t>
            </w:r>
          </w:p>
        </w:tc>
        <w:tc>
          <w:tcPr>
            <w:tcW w:w="5685" w:type="dxa"/>
            <w:tcBorders>
              <w:top w:val="single" w:sz="4" w:space="0" w:color="000000"/>
              <w:bottom w:val="single" w:sz="4" w:space="0" w:color="000000"/>
            </w:tcBorders>
            <w:tcMar>
              <w:top w:w="100" w:type="dxa"/>
              <w:left w:w="100" w:type="dxa"/>
              <w:bottom w:w="100" w:type="dxa"/>
              <w:right w:w="100" w:type="dxa"/>
            </w:tcMar>
          </w:tcPr>
          <w:p w14:paraId="185FBC3C"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Não se aplica</w:t>
            </w:r>
          </w:p>
        </w:tc>
      </w:tr>
      <w:tr w:rsidR="0088264B" w14:paraId="22E5AD45" w14:textId="77777777">
        <w:trPr>
          <w:trHeight w:val="112"/>
        </w:trPr>
        <w:tc>
          <w:tcPr>
            <w:tcW w:w="1125" w:type="dxa"/>
            <w:tcBorders>
              <w:top w:val="nil"/>
              <w:left w:val="nil"/>
              <w:bottom w:val="nil"/>
            </w:tcBorders>
          </w:tcPr>
          <w:p w14:paraId="413AA0D3"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01388B29"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Escolaridade</w:t>
            </w:r>
          </w:p>
        </w:tc>
        <w:tc>
          <w:tcPr>
            <w:tcW w:w="568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713F4276"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 Ensino Superior: Direito</w:t>
            </w:r>
          </w:p>
        </w:tc>
      </w:tr>
      <w:tr w:rsidR="0088264B" w14:paraId="7BC84534" w14:textId="77777777">
        <w:trPr>
          <w:trHeight w:val="898"/>
        </w:trPr>
        <w:tc>
          <w:tcPr>
            <w:tcW w:w="1125" w:type="dxa"/>
            <w:tcBorders>
              <w:top w:val="nil"/>
              <w:left w:val="nil"/>
              <w:bottom w:val="nil"/>
            </w:tcBorders>
          </w:tcPr>
          <w:p w14:paraId="6034ED6E"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69858C18"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Profissão</w:t>
            </w:r>
          </w:p>
        </w:tc>
        <w:tc>
          <w:tcPr>
            <w:tcW w:w="568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435C6D94"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de economia política, de geografia e de gramática na </w:t>
            </w:r>
            <w:r>
              <w:rPr>
                <w:rFonts w:ascii="Times New Roman" w:eastAsia="Times New Roman" w:hAnsi="Times New Roman" w:cs="Times New Roman"/>
                <w:i/>
                <w:sz w:val="24"/>
                <w:szCs w:val="24"/>
              </w:rPr>
              <w:t>Académie de Neuchâtel</w:t>
            </w:r>
            <w:r>
              <w:rPr>
                <w:rFonts w:ascii="Times New Roman" w:eastAsia="Times New Roman" w:hAnsi="Times New Roman" w:cs="Times New Roman"/>
                <w:sz w:val="24"/>
                <w:szCs w:val="24"/>
              </w:rPr>
              <w:t>;</w:t>
            </w:r>
          </w:p>
          <w:p w14:paraId="4BE4A014"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Jornalista/Redator no jornal “</w:t>
            </w:r>
            <w:r>
              <w:rPr>
                <w:rFonts w:ascii="Times New Roman" w:eastAsia="Times New Roman" w:hAnsi="Times New Roman" w:cs="Times New Roman"/>
                <w:i/>
                <w:sz w:val="24"/>
                <w:szCs w:val="24"/>
              </w:rPr>
              <w:t>Le Confédéré</w:t>
            </w:r>
            <w:r>
              <w:rPr>
                <w:rFonts w:ascii="Times New Roman" w:eastAsia="Times New Roman" w:hAnsi="Times New Roman" w:cs="Times New Roman"/>
                <w:sz w:val="24"/>
                <w:szCs w:val="24"/>
              </w:rPr>
              <w:t xml:space="preserve">”; </w:t>
            </w:r>
          </w:p>
          <w:p w14:paraId="1CDE0CE3"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Vereador (</w:t>
            </w:r>
            <w:r>
              <w:rPr>
                <w:rFonts w:ascii="Times New Roman" w:eastAsia="Times New Roman" w:hAnsi="Times New Roman" w:cs="Times New Roman"/>
                <w:i/>
                <w:sz w:val="24"/>
                <w:szCs w:val="24"/>
              </w:rPr>
              <w:t>conseiller municipal</w:t>
            </w:r>
            <w:r>
              <w:rPr>
                <w:rFonts w:ascii="Times New Roman" w:eastAsia="Times New Roman" w:hAnsi="Times New Roman" w:cs="Times New Roman"/>
                <w:sz w:val="24"/>
                <w:szCs w:val="24"/>
              </w:rPr>
              <w:t>);</w:t>
            </w:r>
          </w:p>
          <w:p w14:paraId="0DA13058"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Linguista e Romanista</w:t>
            </w:r>
          </w:p>
        </w:tc>
      </w:tr>
      <w:tr w:rsidR="0088264B" w14:paraId="345374A9" w14:textId="77777777">
        <w:trPr>
          <w:trHeight w:val="169"/>
        </w:trPr>
        <w:tc>
          <w:tcPr>
            <w:tcW w:w="1125" w:type="dxa"/>
            <w:tcBorders>
              <w:top w:val="nil"/>
              <w:left w:val="nil"/>
              <w:bottom w:val="nil"/>
            </w:tcBorders>
          </w:tcPr>
          <w:p w14:paraId="4D13E6A8"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0F84A429"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Gênero/Sexo</w:t>
            </w:r>
          </w:p>
        </w:tc>
        <w:tc>
          <w:tcPr>
            <w:tcW w:w="5685"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6E9A664C"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Masculino</w:t>
            </w:r>
          </w:p>
        </w:tc>
      </w:tr>
      <w:tr w:rsidR="0088264B" w14:paraId="27632006" w14:textId="77777777">
        <w:trPr>
          <w:trHeight w:val="600"/>
        </w:trPr>
        <w:tc>
          <w:tcPr>
            <w:tcW w:w="1125" w:type="dxa"/>
            <w:tcBorders>
              <w:top w:val="nil"/>
              <w:left w:val="nil"/>
            </w:tcBorders>
          </w:tcPr>
          <w:p w14:paraId="00AF4566"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right w:val="single" w:sz="4" w:space="0" w:color="000000"/>
            </w:tcBorders>
            <w:tcMar>
              <w:top w:w="100" w:type="dxa"/>
              <w:left w:w="100" w:type="dxa"/>
              <w:bottom w:w="100" w:type="dxa"/>
              <w:right w:w="100" w:type="dxa"/>
            </w:tcMar>
          </w:tcPr>
          <w:p w14:paraId="5F0610E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Outras publicações</w:t>
            </w:r>
          </w:p>
        </w:tc>
        <w:tc>
          <w:tcPr>
            <w:tcW w:w="5685" w:type="dxa"/>
            <w:tcBorders>
              <w:top w:val="single" w:sz="4" w:space="0" w:color="000000"/>
              <w:left w:val="single" w:sz="4" w:space="0" w:color="000000"/>
            </w:tcBorders>
            <w:tcMar>
              <w:top w:w="100" w:type="dxa"/>
              <w:left w:w="100" w:type="dxa"/>
              <w:bottom w:w="100" w:type="dxa"/>
              <w:right w:w="100" w:type="dxa"/>
            </w:tcMar>
          </w:tcPr>
          <w:p w14:paraId="06C34643"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(1851) Grammaire française. Lexicologie et lexicographie. Ouvrage spécialement destiné à servir de base à l’enseignement scientifique de la langue maternelle dans les collèges, gymnases, écoles moyennes et autres établissements d’instruction publique ;</w:t>
            </w:r>
          </w:p>
          <w:p w14:paraId="0C6B3D34"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(1861) Manuel de géographie statistique :</w:t>
            </w:r>
          </w:p>
          <w:p w14:paraId="0917A499" w14:textId="77777777" w:rsidR="0088264B" w:rsidRPr="00EA2124"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lang w:val="es-419"/>
              </w:rPr>
            </w:pPr>
            <w:r w:rsidRPr="00EA2124">
              <w:rPr>
                <w:rFonts w:ascii="Times New Roman" w:eastAsia="Times New Roman" w:hAnsi="Times New Roman" w:cs="Times New Roman"/>
                <w:sz w:val="24"/>
                <w:szCs w:val="24"/>
                <w:lang w:val="es-419"/>
              </w:rPr>
              <w:t>(1861) Les Nationalités et les états de l’Europe en 1861 ;</w:t>
            </w:r>
          </w:p>
          <w:p w14:paraId="6B12379A"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(1870) Cours gradué de langue française à l’usage des écoles primaires. 1ère partie. La proposition simple ;</w:t>
            </w:r>
          </w:p>
          <w:p w14:paraId="34EC0DBA"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(1875) Phonologie de la langue française;</w:t>
            </w:r>
          </w:p>
          <w:p w14:paraId="5ED758EF"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(1876) Grammaire comparée de la langue française ;</w:t>
            </w:r>
          </w:p>
          <w:p w14:paraId="067BA3CA"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(1878) Grammaire usuelle de la langue française. Ouvrage spécialement destiné à l’enseignement secondaire;</w:t>
            </w:r>
          </w:p>
          <w:p w14:paraId="5047437D"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(1878) Introduction à l’étude des dialectes du Pays romand ;</w:t>
            </w:r>
          </w:p>
          <w:p w14:paraId="58F4FAB6" w14:textId="77777777" w:rsidR="0088264B" w:rsidRDefault="00000000">
            <w:pPr>
              <w:widowControl w:val="0"/>
              <w:numPr>
                <w:ilvl w:val="0"/>
                <w:numId w:val="5"/>
              </w:numPr>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(1880) Grammaire élémentaire de la langue française.</w:t>
            </w:r>
          </w:p>
          <w:p w14:paraId="4942EBF6" w14:textId="77777777" w:rsidR="0088264B" w:rsidRDefault="0088264B">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p>
        </w:tc>
      </w:tr>
      <w:tr w:rsidR="0088264B" w14:paraId="72994D29" w14:textId="77777777">
        <w:trPr>
          <w:trHeight w:val="310"/>
        </w:trPr>
        <w:tc>
          <w:tcPr>
            <w:tcW w:w="10065" w:type="dxa"/>
            <w:gridSpan w:val="3"/>
            <w:tcBorders>
              <w:bottom w:val="single" w:sz="4" w:space="0" w:color="000000"/>
            </w:tcBorders>
            <w:shd w:val="clear" w:color="auto" w:fill="93CDDC"/>
            <w:tcMar>
              <w:top w:w="100" w:type="dxa"/>
              <w:left w:w="100" w:type="dxa"/>
              <w:bottom w:w="100" w:type="dxa"/>
              <w:right w:w="100" w:type="dxa"/>
            </w:tcMar>
          </w:tcPr>
          <w:p w14:paraId="20D04FF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Obra</w:t>
            </w:r>
          </w:p>
        </w:tc>
      </w:tr>
      <w:tr w:rsidR="0088264B" w14:paraId="35FBE16B" w14:textId="77777777">
        <w:trPr>
          <w:trHeight w:val="330"/>
        </w:trPr>
        <w:tc>
          <w:tcPr>
            <w:tcW w:w="1125" w:type="dxa"/>
            <w:tcBorders>
              <w:left w:val="nil"/>
              <w:bottom w:val="nil"/>
            </w:tcBorders>
          </w:tcPr>
          <w:p w14:paraId="7E321D32"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255" w:type="dxa"/>
            <w:tcBorders>
              <w:top w:val="single" w:sz="4" w:space="0" w:color="000000"/>
              <w:bottom w:val="single" w:sz="4" w:space="0" w:color="000000"/>
            </w:tcBorders>
            <w:tcMar>
              <w:top w:w="100" w:type="dxa"/>
              <w:left w:w="100" w:type="dxa"/>
              <w:bottom w:w="100" w:type="dxa"/>
              <w:right w:w="100" w:type="dxa"/>
            </w:tcMar>
          </w:tcPr>
          <w:p w14:paraId="6396F861"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Título completo</w:t>
            </w:r>
          </w:p>
        </w:tc>
        <w:tc>
          <w:tcPr>
            <w:tcW w:w="5685" w:type="dxa"/>
            <w:tcBorders>
              <w:top w:val="single" w:sz="4" w:space="0" w:color="000000"/>
              <w:bottom w:val="single" w:sz="4" w:space="0" w:color="000000"/>
            </w:tcBorders>
            <w:tcMar>
              <w:top w:w="100" w:type="dxa"/>
              <w:left w:w="100" w:type="dxa"/>
              <w:bottom w:w="100" w:type="dxa"/>
              <w:right w:w="100" w:type="dxa"/>
            </w:tcMar>
          </w:tcPr>
          <w:p w14:paraId="31C38CC3" w14:textId="77777777" w:rsidR="0088264B" w:rsidRDefault="00000000">
            <w:pPr>
              <w:widowControl w:val="0"/>
              <w:spacing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sz w:val="24"/>
                <w:szCs w:val="24"/>
              </w:rPr>
              <w:t>Grammaire Comparée de la Langue Française</w:t>
            </w:r>
          </w:p>
        </w:tc>
      </w:tr>
      <w:tr w:rsidR="0088264B" w14:paraId="77954483" w14:textId="77777777">
        <w:trPr>
          <w:trHeight w:val="405"/>
        </w:trPr>
        <w:tc>
          <w:tcPr>
            <w:tcW w:w="1125" w:type="dxa"/>
            <w:tcBorders>
              <w:top w:val="nil"/>
              <w:left w:val="nil"/>
              <w:bottom w:val="nil"/>
            </w:tcBorders>
          </w:tcPr>
          <w:p w14:paraId="1B0391C7"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72FC32D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 curto</w:t>
            </w:r>
          </w:p>
        </w:tc>
        <w:tc>
          <w:tcPr>
            <w:tcW w:w="5685" w:type="dxa"/>
            <w:tcBorders>
              <w:top w:val="single" w:sz="4" w:space="0" w:color="000000"/>
              <w:bottom w:val="single" w:sz="4" w:space="0" w:color="000000"/>
            </w:tcBorders>
            <w:tcMar>
              <w:top w:w="100" w:type="dxa"/>
              <w:left w:w="100" w:type="dxa"/>
              <w:bottom w:w="100" w:type="dxa"/>
              <w:right w:w="100" w:type="dxa"/>
            </w:tcMar>
          </w:tcPr>
          <w:p w14:paraId="5037611C"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Grammaire Comparée de la Langue Française</w:t>
            </w:r>
          </w:p>
        </w:tc>
      </w:tr>
      <w:tr w:rsidR="0088264B" w14:paraId="2DC2A502" w14:textId="77777777">
        <w:trPr>
          <w:trHeight w:val="510"/>
        </w:trPr>
        <w:tc>
          <w:tcPr>
            <w:tcW w:w="1125" w:type="dxa"/>
            <w:tcBorders>
              <w:top w:val="nil"/>
              <w:left w:val="nil"/>
              <w:bottom w:val="nil"/>
            </w:tcBorders>
          </w:tcPr>
          <w:p w14:paraId="34725186"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20AE45CB"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primeira edição</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58B8347E"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1876</w:t>
            </w:r>
          </w:p>
        </w:tc>
      </w:tr>
      <w:tr w:rsidR="0088264B" w14:paraId="21CD5B72" w14:textId="77777777">
        <w:trPr>
          <w:trHeight w:val="510"/>
        </w:trPr>
        <w:tc>
          <w:tcPr>
            <w:tcW w:w="1125" w:type="dxa"/>
            <w:tcBorders>
              <w:top w:val="nil"/>
              <w:left w:val="nil"/>
              <w:bottom w:val="nil"/>
            </w:tcBorders>
          </w:tcPr>
          <w:p w14:paraId="1F411266"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1E6B9046"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primeira edição foi publicada</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1F8A9045"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Suíça (?)</w:t>
            </w:r>
          </w:p>
        </w:tc>
      </w:tr>
      <w:tr w:rsidR="0088264B" w14:paraId="46D33F9B" w14:textId="77777777">
        <w:trPr>
          <w:trHeight w:val="510"/>
        </w:trPr>
        <w:tc>
          <w:tcPr>
            <w:tcW w:w="1125" w:type="dxa"/>
            <w:tcBorders>
              <w:top w:val="nil"/>
              <w:left w:val="nil"/>
              <w:bottom w:val="nil"/>
            </w:tcBorders>
          </w:tcPr>
          <w:p w14:paraId="5E39D69D"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6BEB39B2"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primeira edição foi publicada</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3A115AC0"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Neuchâtel (?)</w:t>
            </w:r>
          </w:p>
        </w:tc>
      </w:tr>
      <w:tr w:rsidR="0088264B" w14:paraId="6843C36A" w14:textId="77777777">
        <w:trPr>
          <w:trHeight w:val="165"/>
        </w:trPr>
        <w:tc>
          <w:tcPr>
            <w:tcW w:w="1125" w:type="dxa"/>
            <w:tcBorders>
              <w:top w:val="nil"/>
              <w:left w:val="nil"/>
              <w:bottom w:val="nil"/>
            </w:tcBorders>
          </w:tcPr>
          <w:p w14:paraId="313BFE91"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65A1D1A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edições</w:t>
            </w:r>
          </w:p>
        </w:tc>
        <w:tc>
          <w:tcPr>
            <w:tcW w:w="5685" w:type="dxa"/>
            <w:tcBorders>
              <w:top w:val="single" w:sz="4" w:space="0" w:color="000000"/>
              <w:bottom w:val="single" w:sz="4" w:space="0" w:color="000000"/>
            </w:tcBorders>
            <w:tcMar>
              <w:top w:w="100" w:type="dxa"/>
              <w:left w:w="100" w:type="dxa"/>
              <w:bottom w:w="100" w:type="dxa"/>
              <w:right w:w="100" w:type="dxa"/>
            </w:tcMar>
          </w:tcPr>
          <w:p w14:paraId="0BF59AE4"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4 (?)</w:t>
            </w:r>
          </w:p>
        </w:tc>
      </w:tr>
      <w:tr w:rsidR="0088264B" w14:paraId="15300CEA" w14:textId="77777777">
        <w:trPr>
          <w:trHeight w:val="243"/>
        </w:trPr>
        <w:tc>
          <w:tcPr>
            <w:tcW w:w="1125" w:type="dxa"/>
            <w:tcBorders>
              <w:top w:val="nil"/>
              <w:left w:val="nil"/>
              <w:bottom w:val="nil"/>
            </w:tcBorders>
          </w:tcPr>
          <w:p w14:paraId="0AACA841"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1CBF8AE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da edição analisada</w:t>
            </w:r>
          </w:p>
        </w:tc>
        <w:tc>
          <w:tcPr>
            <w:tcW w:w="5685" w:type="dxa"/>
            <w:tcBorders>
              <w:top w:val="single" w:sz="4" w:space="0" w:color="000000"/>
              <w:bottom w:val="single" w:sz="4" w:space="0" w:color="000000"/>
            </w:tcBorders>
            <w:tcMar>
              <w:top w:w="100" w:type="dxa"/>
              <w:left w:w="100" w:type="dxa"/>
              <w:bottom w:w="100" w:type="dxa"/>
              <w:right w:w="100" w:type="dxa"/>
            </w:tcMar>
          </w:tcPr>
          <w:p w14:paraId="7B415A3F"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4ª</w:t>
            </w:r>
          </w:p>
        </w:tc>
      </w:tr>
      <w:tr w:rsidR="0088264B" w14:paraId="3A728075" w14:textId="77777777">
        <w:trPr>
          <w:trHeight w:val="330"/>
        </w:trPr>
        <w:tc>
          <w:tcPr>
            <w:tcW w:w="1125" w:type="dxa"/>
            <w:tcBorders>
              <w:top w:val="nil"/>
              <w:left w:val="nil"/>
              <w:bottom w:val="nil"/>
            </w:tcBorders>
          </w:tcPr>
          <w:p w14:paraId="6F6C2161"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2249852B"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edição analisada</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798690EB"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1885</w:t>
            </w:r>
          </w:p>
        </w:tc>
      </w:tr>
      <w:tr w:rsidR="0088264B" w14:paraId="7A9136A7" w14:textId="77777777">
        <w:trPr>
          <w:trHeight w:val="330"/>
        </w:trPr>
        <w:tc>
          <w:tcPr>
            <w:tcW w:w="1125" w:type="dxa"/>
            <w:tcBorders>
              <w:top w:val="nil"/>
              <w:left w:val="nil"/>
              <w:bottom w:val="nil"/>
            </w:tcBorders>
          </w:tcPr>
          <w:p w14:paraId="55B6D05C"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61643AA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edição analisada foi publicada</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5D2BF635"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França</w:t>
            </w:r>
          </w:p>
        </w:tc>
      </w:tr>
      <w:tr w:rsidR="0088264B" w14:paraId="255E32F9" w14:textId="77777777">
        <w:trPr>
          <w:trHeight w:val="330"/>
        </w:trPr>
        <w:tc>
          <w:tcPr>
            <w:tcW w:w="1125" w:type="dxa"/>
            <w:tcBorders>
              <w:top w:val="nil"/>
              <w:left w:val="nil"/>
              <w:bottom w:val="nil"/>
            </w:tcBorders>
          </w:tcPr>
          <w:p w14:paraId="2FEA97FC"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55D5670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edição analisada foi publicada</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76DD5DA3"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Paris</w:t>
            </w:r>
          </w:p>
        </w:tc>
      </w:tr>
      <w:tr w:rsidR="0088264B" w14:paraId="67696648" w14:textId="77777777">
        <w:trPr>
          <w:trHeight w:val="169"/>
        </w:trPr>
        <w:tc>
          <w:tcPr>
            <w:tcW w:w="1125" w:type="dxa"/>
            <w:tcBorders>
              <w:top w:val="nil"/>
              <w:left w:val="nil"/>
              <w:bottom w:val="nil"/>
            </w:tcBorders>
          </w:tcPr>
          <w:p w14:paraId="29D63E92"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1B2B1EC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Editora responsável pela edição</w:t>
            </w:r>
          </w:p>
        </w:tc>
        <w:tc>
          <w:tcPr>
            <w:tcW w:w="5685" w:type="dxa"/>
            <w:tcBorders>
              <w:top w:val="single" w:sz="4" w:space="0" w:color="000000"/>
              <w:bottom w:val="single" w:sz="4" w:space="0" w:color="000000"/>
            </w:tcBorders>
            <w:tcMar>
              <w:top w:w="100" w:type="dxa"/>
              <w:left w:w="100" w:type="dxa"/>
              <w:bottom w:w="100" w:type="dxa"/>
              <w:right w:w="100" w:type="dxa"/>
            </w:tcMar>
          </w:tcPr>
          <w:p w14:paraId="6048E440"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H. Georg, Libraire-Éditeur</w:t>
            </w:r>
          </w:p>
        </w:tc>
      </w:tr>
      <w:tr w:rsidR="0088264B" w14:paraId="36C6A7F1" w14:textId="77777777">
        <w:trPr>
          <w:trHeight w:val="49"/>
        </w:trPr>
        <w:tc>
          <w:tcPr>
            <w:tcW w:w="1125" w:type="dxa"/>
            <w:tcBorders>
              <w:top w:val="nil"/>
              <w:left w:val="nil"/>
              <w:bottom w:val="nil"/>
            </w:tcBorders>
          </w:tcPr>
          <w:p w14:paraId="5185BBBC"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1280048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páginas</w:t>
            </w:r>
          </w:p>
        </w:tc>
        <w:tc>
          <w:tcPr>
            <w:tcW w:w="5685" w:type="dxa"/>
            <w:tcBorders>
              <w:top w:val="single" w:sz="4" w:space="0" w:color="000000"/>
              <w:bottom w:val="single" w:sz="4" w:space="0" w:color="000000"/>
            </w:tcBorders>
            <w:tcMar>
              <w:top w:w="100" w:type="dxa"/>
              <w:left w:w="100" w:type="dxa"/>
              <w:bottom w:w="100" w:type="dxa"/>
              <w:right w:w="100" w:type="dxa"/>
            </w:tcMar>
          </w:tcPr>
          <w:p w14:paraId="543956E0"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709</w:t>
            </w:r>
          </w:p>
        </w:tc>
      </w:tr>
      <w:tr w:rsidR="0088264B" w14:paraId="404B4854" w14:textId="77777777">
        <w:trPr>
          <w:trHeight w:val="183"/>
        </w:trPr>
        <w:tc>
          <w:tcPr>
            <w:tcW w:w="1125" w:type="dxa"/>
            <w:tcBorders>
              <w:top w:val="nil"/>
              <w:left w:val="nil"/>
              <w:bottom w:val="nil"/>
            </w:tcBorders>
          </w:tcPr>
          <w:p w14:paraId="7E2596D9"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highlight w:val="yellow"/>
              </w:rPr>
            </w:pPr>
          </w:p>
        </w:tc>
        <w:tc>
          <w:tcPr>
            <w:tcW w:w="3255" w:type="dxa"/>
            <w:tcBorders>
              <w:top w:val="single" w:sz="4" w:space="0" w:color="000000"/>
              <w:bottom w:val="single" w:sz="4" w:space="0" w:color="000000"/>
            </w:tcBorders>
            <w:tcMar>
              <w:top w:w="100" w:type="dxa"/>
              <w:left w:w="100" w:type="dxa"/>
              <w:bottom w:w="100" w:type="dxa"/>
              <w:right w:w="100" w:type="dxa"/>
            </w:tcMar>
          </w:tcPr>
          <w:p w14:paraId="0318FBE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em que foi escrito</w:t>
            </w:r>
          </w:p>
        </w:tc>
        <w:tc>
          <w:tcPr>
            <w:tcW w:w="5685" w:type="dxa"/>
            <w:tcBorders>
              <w:top w:val="single" w:sz="4" w:space="0" w:color="000000"/>
              <w:bottom w:val="single" w:sz="4" w:space="0" w:color="000000"/>
            </w:tcBorders>
            <w:tcMar>
              <w:top w:w="100" w:type="dxa"/>
              <w:left w:w="100" w:type="dxa"/>
              <w:bottom w:w="100" w:type="dxa"/>
              <w:right w:w="100" w:type="dxa"/>
            </w:tcMar>
          </w:tcPr>
          <w:p w14:paraId="70852E3A"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Francês</w:t>
            </w:r>
          </w:p>
        </w:tc>
      </w:tr>
      <w:tr w:rsidR="0088264B" w14:paraId="4FED337F" w14:textId="77777777">
        <w:trPr>
          <w:trHeight w:val="275"/>
        </w:trPr>
        <w:tc>
          <w:tcPr>
            <w:tcW w:w="1125" w:type="dxa"/>
            <w:tcBorders>
              <w:top w:val="nil"/>
              <w:left w:val="nil"/>
              <w:bottom w:val="nil"/>
            </w:tcBorders>
          </w:tcPr>
          <w:p w14:paraId="2322A671"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0358146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analisado pelo material</w:t>
            </w:r>
          </w:p>
        </w:tc>
        <w:tc>
          <w:tcPr>
            <w:tcW w:w="5685" w:type="dxa"/>
            <w:tcBorders>
              <w:top w:val="single" w:sz="4" w:space="0" w:color="000000"/>
              <w:bottom w:val="single" w:sz="4" w:space="0" w:color="000000"/>
            </w:tcBorders>
            <w:tcMar>
              <w:top w:w="100" w:type="dxa"/>
              <w:left w:w="100" w:type="dxa"/>
              <w:bottom w:w="100" w:type="dxa"/>
              <w:right w:w="100" w:type="dxa"/>
            </w:tcMar>
          </w:tcPr>
          <w:p w14:paraId="65141EC4"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Francês</w:t>
            </w:r>
          </w:p>
        </w:tc>
      </w:tr>
      <w:tr w:rsidR="0088264B" w14:paraId="490BEA7D" w14:textId="77777777">
        <w:trPr>
          <w:trHeight w:val="525"/>
        </w:trPr>
        <w:tc>
          <w:tcPr>
            <w:tcW w:w="1125" w:type="dxa"/>
            <w:tcBorders>
              <w:top w:val="nil"/>
              <w:left w:val="nil"/>
              <w:bottom w:val="nil"/>
            </w:tcBorders>
          </w:tcPr>
          <w:p w14:paraId="59DD775C"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5" w:type="dxa"/>
            <w:tcBorders>
              <w:top w:val="single" w:sz="4" w:space="0" w:color="000000"/>
              <w:bottom w:val="single" w:sz="4" w:space="0" w:color="000000"/>
            </w:tcBorders>
            <w:tcMar>
              <w:top w:w="100" w:type="dxa"/>
              <w:left w:w="100" w:type="dxa"/>
              <w:bottom w:w="100" w:type="dxa"/>
              <w:right w:w="100" w:type="dxa"/>
            </w:tcMar>
          </w:tcPr>
          <w:p w14:paraId="2038F7A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gramática</w:t>
            </w:r>
          </w:p>
        </w:tc>
        <w:tc>
          <w:tcPr>
            <w:tcW w:w="5685" w:type="dxa"/>
            <w:tcBorders>
              <w:top w:val="single" w:sz="4" w:space="0" w:color="000000"/>
              <w:bottom w:val="single" w:sz="4" w:space="0" w:color="000000"/>
            </w:tcBorders>
            <w:tcMar>
              <w:top w:w="100" w:type="dxa"/>
              <w:left w:w="100" w:type="dxa"/>
              <w:bottom w:w="100" w:type="dxa"/>
              <w:right w:w="100" w:type="dxa"/>
            </w:tcMar>
            <w:vAlign w:val="center"/>
          </w:tcPr>
          <w:p w14:paraId="4481F62C" w14:textId="77777777" w:rsidR="0088264B" w:rsidRDefault="0088264B">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p>
          <w:p w14:paraId="48CDBF6A" w14:textId="77777777" w:rsidR="0088264B" w:rsidRDefault="00000000">
            <w:pPr>
              <w:widowControl w:val="0"/>
              <w:pBdr>
                <w:top w:val="nil"/>
                <w:left w:val="nil"/>
                <w:bottom w:val="nil"/>
                <w:right w:val="nil"/>
                <w:between w:val="nil"/>
              </w:pBdr>
              <w:spacing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Gramática descritiva.</w:t>
            </w:r>
          </w:p>
          <w:p w14:paraId="18351FA6" w14:textId="77777777" w:rsidR="0088264B" w:rsidRDefault="00000000">
            <w:pPr>
              <w:widowControl w:val="0"/>
              <w:pBdr>
                <w:top w:val="nil"/>
                <w:left w:val="nil"/>
                <w:bottom w:val="nil"/>
                <w:right w:val="nil"/>
                <w:between w:val="nil"/>
              </w:pBdr>
              <w:spacing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Gramática escolar.</w:t>
            </w:r>
          </w:p>
        </w:tc>
      </w:tr>
      <w:tr w:rsidR="0088264B" w14:paraId="52A66206" w14:textId="77777777">
        <w:trPr>
          <w:trHeight w:val="23"/>
        </w:trPr>
        <w:tc>
          <w:tcPr>
            <w:tcW w:w="1125" w:type="dxa"/>
            <w:tcBorders>
              <w:top w:val="nil"/>
              <w:left w:val="nil"/>
              <w:bottom w:val="nil"/>
            </w:tcBorders>
          </w:tcPr>
          <w:p w14:paraId="692F8650"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5" w:type="dxa"/>
            <w:tcBorders>
              <w:top w:val="single" w:sz="4" w:space="0" w:color="000000"/>
            </w:tcBorders>
            <w:tcMar>
              <w:top w:w="100" w:type="dxa"/>
              <w:left w:w="100" w:type="dxa"/>
              <w:bottom w:w="100" w:type="dxa"/>
              <w:right w:w="100" w:type="dxa"/>
            </w:tcMar>
          </w:tcPr>
          <w:p w14:paraId="5F40A126"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Presença de exercícios</w:t>
            </w:r>
          </w:p>
        </w:tc>
        <w:tc>
          <w:tcPr>
            <w:tcW w:w="5685" w:type="dxa"/>
            <w:tcBorders>
              <w:top w:val="single" w:sz="4" w:space="0" w:color="000000"/>
            </w:tcBorders>
            <w:tcMar>
              <w:top w:w="100" w:type="dxa"/>
              <w:left w:w="100" w:type="dxa"/>
              <w:bottom w:w="100" w:type="dxa"/>
              <w:right w:w="100" w:type="dxa"/>
            </w:tcMar>
          </w:tcPr>
          <w:p w14:paraId="4D7312D5" w14:textId="77777777" w:rsidR="0088264B" w:rsidRDefault="00000000">
            <w:pPr>
              <w:widowControl w:val="0"/>
              <w:pBdr>
                <w:top w:val="nil"/>
                <w:left w:val="nil"/>
                <w:bottom w:val="nil"/>
                <w:right w:val="nil"/>
                <w:between w:val="nil"/>
              </w:pBdr>
              <w:spacing w:line="240" w:lineRule="auto"/>
              <w:ind w:left="2042"/>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4"/>
                <w:szCs w:val="24"/>
              </w:rPr>
              <w:t>Não há</w:t>
            </w:r>
          </w:p>
        </w:tc>
      </w:tr>
      <w:tr w:rsidR="0088264B" w14:paraId="46ADAD09" w14:textId="77777777">
        <w:trPr>
          <w:trHeight w:val="258"/>
        </w:trPr>
        <w:tc>
          <w:tcPr>
            <w:tcW w:w="1125" w:type="dxa"/>
            <w:tcBorders>
              <w:top w:val="nil"/>
              <w:left w:val="nil"/>
            </w:tcBorders>
          </w:tcPr>
          <w:p w14:paraId="540B688E"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5" w:type="dxa"/>
            <w:tcBorders>
              <w:top w:val="single" w:sz="4" w:space="0" w:color="000000"/>
            </w:tcBorders>
            <w:tcMar>
              <w:top w:w="100" w:type="dxa"/>
              <w:left w:w="100" w:type="dxa"/>
              <w:bottom w:w="100" w:type="dxa"/>
              <w:right w:w="100" w:type="dxa"/>
            </w:tcMar>
          </w:tcPr>
          <w:p w14:paraId="54B6EA66"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gráfico</w:t>
            </w:r>
          </w:p>
        </w:tc>
        <w:tc>
          <w:tcPr>
            <w:tcW w:w="5685" w:type="dxa"/>
            <w:tcBorders>
              <w:top w:val="single" w:sz="4" w:space="0" w:color="000000"/>
            </w:tcBorders>
            <w:tcMar>
              <w:top w:w="100" w:type="dxa"/>
              <w:left w:w="100" w:type="dxa"/>
              <w:bottom w:w="100" w:type="dxa"/>
              <w:right w:w="100" w:type="dxa"/>
            </w:tcMar>
          </w:tcPr>
          <w:p w14:paraId="084B2A98"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i/>
                <w:sz w:val="20"/>
                <w:szCs w:val="20"/>
              </w:rPr>
            </w:pPr>
            <w:r>
              <w:rPr>
                <w:rFonts w:ascii="Times New Roman" w:eastAsia="Times New Roman" w:hAnsi="Times New Roman" w:cs="Times New Roman"/>
                <w:sz w:val="24"/>
                <w:szCs w:val="24"/>
              </w:rPr>
              <w:t>Apenas textos, em preto e branco</w:t>
            </w:r>
          </w:p>
        </w:tc>
      </w:tr>
      <w:tr w:rsidR="0088264B" w14:paraId="53DEAB7B" w14:textId="77777777">
        <w:trPr>
          <w:trHeight w:val="184"/>
        </w:trPr>
        <w:tc>
          <w:tcPr>
            <w:tcW w:w="10065" w:type="dxa"/>
            <w:gridSpan w:val="3"/>
            <w:tcBorders>
              <w:bottom w:val="single" w:sz="4" w:space="0" w:color="000000"/>
            </w:tcBorders>
            <w:shd w:val="clear" w:color="auto" w:fill="93CDDC"/>
            <w:tcMar>
              <w:top w:w="100" w:type="dxa"/>
              <w:left w:w="100" w:type="dxa"/>
              <w:bottom w:w="100" w:type="dxa"/>
              <w:right w:w="100" w:type="dxa"/>
            </w:tcMar>
          </w:tcPr>
          <w:p w14:paraId="0FD4055E"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Sumário</w:t>
            </w:r>
          </w:p>
        </w:tc>
      </w:tr>
      <w:tr w:rsidR="0088264B" w14:paraId="6FB38F87" w14:textId="77777777">
        <w:trPr>
          <w:trHeight w:val="17"/>
        </w:trPr>
        <w:tc>
          <w:tcPr>
            <w:tcW w:w="10065" w:type="dxa"/>
            <w:gridSpan w:val="3"/>
            <w:tcBorders>
              <w:top w:val="single" w:sz="4" w:space="0" w:color="000000"/>
            </w:tcBorders>
            <w:tcMar>
              <w:top w:w="100" w:type="dxa"/>
              <w:left w:w="100" w:type="dxa"/>
              <w:bottom w:w="100" w:type="dxa"/>
              <w:right w:w="100" w:type="dxa"/>
            </w:tcMar>
          </w:tcPr>
          <w:p w14:paraId="206580B3" w14:textId="77777777" w:rsidR="0088264B" w:rsidRPr="00EA2124"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es-419"/>
              </w:rPr>
            </w:pPr>
            <w:r w:rsidRPr="00EA2124">
              <w:rPr>
                <w:rFonts w:ascii="Times New Roman" w:eastAsia="Times New Roman" w:hAnsi="Times New Roman" w:cs="Times New Roman"/>
                <w:b/>
                <w:sz w:val="24"/>
                <w:szCs w:val="24"/>
                <w:lang w:val="es-419"/>
              </w:rPr>
              <w:t>INTRODUCTION</w:t>
            </w:r>
          </w:p>
          <w:p w14:paraId="710725E5" w14:textId="77777777" w:rsidR="0088264B" w:rsidRPr="00EA212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419"/>
              </w:rPr>
            </w:pPr>
            <w:r w:rsidRPr="00EA2124">
              <w:rPr>
                <w:rFonts w:ascii="Times New Roman" w:eastAsia="Times New Roman" w:hAnsi="Times New Roman" w:cs="Times New Roman"/>
                <w:sz w:val="24"/>
                <w:szCs w:val="24"/>
                <w:lang w:val="es-419"/>
              </w:rPr>
              <w:t xml:space="preserve">                  Section I – Principes généraux</w:t>
            </w:r>
          </w:p>
          <w:p w14:paraId="3A45BE59" w14:textId="77777777" w:rsidR="0088264B" w:rsidRPr="00EA2124"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419"/>
              </w:rPr>
            </w:pPr>
            <w:r w:rsidRPr="00EA2124">
              <w:rPr>
                <w:rFonts w:ascii="Times New Roman" w:eastAsia="Times New Roman" w:hAnsi="Times New Roman" w:cs="Times New Roman"/>
                <w:sz w:val="24"/>
                <w:szCs w:val="24"/>
                <w:lang w:val="es-419"/>
              </w:rPr>
              <w:t xml:space="preserve">                  Section II – Formation de la langue française</w:t>
            </w:r>
          </w:p>
          <w:p w14:paraId="20A4356D" w14:textId="77777777" w:rsidR="0088264B" w:rsidRPr="00EA2124" w:rsidRDefault="0088264B">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419"/>
              </w:rPr>
            </w:pPr>
          </w:p>
          <w:p w14:paraId="56A248F3"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mallCaps/>
                <w:sz w:val="24"/>
                <w:szCs w:val="24"/>
              </w:rPr>
              <w:t>PREMIÈRE PARTIE</w:t>
            </w:r>
            <w:r>
              <w:rPr>
                <w:rFonts w:ascii="Times New Roman" w:eastAsia="Times New Roman" w:hAnsi="Times New Roman" w:cs="Times New Roman"/>
                <w:b/>
                <w:sz w:val="24"/>
                <w:szCs w:val="24"/>
              </w:rPr>
              <w:t xml:space="preserve"> – ÉTYMOLOGIE</w:t>
            </w:r>
          </w:p>
          <w:p w14:paraId="2AD56E84"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Livre I</w:t>
            </w:r>
            <w:r>
              <w:rPr>
                <w:rFonts w:ascii="Times New Roman" w:eastAsia="Times New Roman" w:hAnsi="Times New Roman" w:cs="Times New Roman"/>
                <w:sz w:val="24"/>
                <w:szCs w:val="24"/>
                <w:vertAlign w:val="superscript"/>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Phonologie</w:t>
            </w:r>
          </w:p>
          <w:p w14:paraId="58FD886E"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I</w:t>
            </w:r>
            <w:r>
              <w:rPr>
                <w:rFonts w:ascii="Times New Roman" w:eastAsia="Times New Roman" w:hAnsi="Times New Roman" w:cs="Times New Roman"/>
                <w:sz w:val="24"/>
                <w:szCs w:val="24"/>
                <w:vertAlign w:val="superscript"/>
              </w:rPr>
              <w:t>er</w:t>
            </w:r>
            <w:r>
              <w:rPr>
                <w:rFonts w:ascii="Times New Roman" w:eastAsia="Times New Roman" w:hAnsi="Times New Roman" w:cs="Times New Roman"/>
                <w:sz w:val="24"/>
                <w:szCs w:val="24"/>
              </w:rPr>
              <w:t xml:space="preserve"> – Les sons de la langue étudiés en eux-mêmes</w:t>
            </w:r>
          </w:p>
          <w:p w14:paraId="1167D2EF"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II – Les sons représentés par des lettres</w:t>
            </w:r>
          </w:p>
          <w:p w14:paraId="5713CEA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Section I – Les lettres latines.</w:t>
            </w:r>
          </w:p>
          <w:p w14:paraId="2DEC910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Section II – Les lettres allemandes.</w:t>
            </w:r>
          </w:p>
          <w:p w14:paraId="678371C8"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Section II – Les lettres françaises.</w:t>
            </w:r>
          </w:p>
          <w:p w14:paraId="38B0FC1E"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Livre II </w:t>
            </w:r>
            <w:r>
              <w:rPr>
                <w:rFonts w:ascii="Times New Roman" w:eastAsia="Times New Roman" w:hAnsi="Times New Roman" w:cs="Times New Roman"/>
                <w:b/>
                <w:sz w:val="24"/>
                <w:szCs w:val="24"/>
              </w:rPr>
              <w:t>Morphologie</w:t>
            </w:r>
          </w:p>
          <w:p w14:paraId="78C4EB6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TITRE I – Les espèces de mots et leurs flexions.</w:t>
            </w:r>
          </w:p>
          <w:p w14:paraId="3587CCD3"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III – Du nom ou substantif</w:t>
            </w:r>
          </w:p>
          <w:p w14:paraId="35C97E9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IV – De l’adjectif</w:t>
            </w:r>
          </w:p>
          <w:p w14:paraId="0E0B1D36"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V – De l’article</w:t>
            </w:r>
          </w:p>
          <w:p w14:paraId="5B6C61BB"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VI – Du nom de nombre</w:t>
            </w:r>
          </w:p>
          <w:p w14:paraId="67EE16D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VII – Du pronom</w:t>
            </w:r>
          </w:p>
          <w:p w14:paraId="33EF93D2"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VIII – Du verbe</w:t>
            </w:r>
          </w:p>
          <w:p w14:paraId="0906A4F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IX – De l’adverbe</w:t>
            </w:r>
          </w:p>
          <w:p w14:paraId="5EF3BB72"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 – De la préposition</w:t>
            </w:r>
          </w:p>
          <w:p w14:paraId="476B0032"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Chap.XI – De la Conjonction</w:t>
            </w:r>
          </w:p>
          <w:p w14:paraId="6EF35AB3"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XII – De l’interjection</w:t>
            </w:r>
          </w:p>
          <w:p w14:paraId="08EB6B62"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TITRE II – La formation des mots</w:t>
            </w:r>
          </w:p>
          <w:p w14:paraId="4A8346B9"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XIII – De la dérivation</w:t>
            </w:r>
          </w:p>
          <w:p w14:paraId="293D02E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XIV – De la composition</w:t>
            </w:r>
          </w:p>
          <w:p w14:paraId="24A5D7CD"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9549291"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SECONDE PARTIE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SYNTAXE</w:t>
            </w:r>
          </w:p>
          <w:p w14:paraId="0C8775E8"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Livre I</w:t>
            </w:r>
            <w:r>
              <w:rPr>
                <w:rFonts w:ascii="Times New Roman" w:eastAsia="Times New Roman" w:hAnsi="Times New Roman" w:cs="Times New Roman"/>
                <w:sz w:val="24"/>
                <w:szCs w:val="24"/>
                <w:vertAlign w:val="superscript"/>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Syntaxe de la proposition simple</w:t>
            </w:r>
          </w:p>
          <w:p w14:paraId="43C305B8"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XV – De la proposition simple en général</w:t>
            </w:r>
          </w:p>
          <w:p w14:paraId="2BBF45C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XVI – Syntaxe de l’article</w:t>
            </w:r>
          </w:p>
          <w:p w14:paraId="63E4A64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XVII – Syntaxe du nom de nombre</w:t>
            </w:r>
          </w:p>
          <w:p w14:paraId="55CBDA7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XVIII – Syntaxe du pronom</w:t>
            </w:r>
          </w:p>
          <w:p w14:paraId="0888FDE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XIX – Les voix du verbe</w:t>
            </w:r>
          </w:p>
          <w:p w14:paraId="0A81EF6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 – Emploi des modes et des temps</w:t>
            </w:r>
          </w:p>
          <w:p w14:paraId="35CACDE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XXI – Syntade de concordance</w:t>
            </w:r>
          </w:p>
          <w:p w14:paraId="404A4F04"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XXII – Syntaxe de dépendance</w:t>
            </w:r>
          </w:p>
          <w:p w14:paraId="7DC63174"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XXIII – Les formes de la proposition simple</w:t>
            </w:r>
          </w:p>
          <w:p w14:paraId="376429A6"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XXIV – Accentuation et construction de la proposition simple</w:t>
            </w:r>
          </w:p>
          <w:p w14:paraId="189E9E8C"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Livre II </w:t>
            </w:r>
            <w:r>
              <w:rPr>
                <w:rFonts w:ascii="Times New Roman" w:eastAsia="Times New Roman" w:hAnsi="Times New Roman" w:cs="Times New Roman"/>
                <w:b/>
                <w:sz w:val="24"/>
                <w:szCs w:val="24"/>
              </w:rPr>
              <w:t>Syntaxe de la proposition composée</w:t>
            </w:r>
          </w:p>
          <w:p w14:paraId="1835212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XXV – De la phrase de coordination</w:t>
            </w:r>
          </w:p>
          <w:p w14:paraId="494582CD"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XXVI – De la phrase de subordination</w:t>
            </w:r>
          </w:p>
          <w:p w14:paraId="0AB7BDB4"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XXVII – De la phrase surcomposée</w:t>
            </w:r>
          </w:p>
          <w:p w14:paraId="45F563F4"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XXVIII – De la construction de la phrase composée</w:t>
            </w:r>
          </w:p>
          <w:p w14:paraId="72085F01"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XXIX – De la ponctuation</w:t>
            </w:r>
          </w:p>
          <w:p w14:paraId="416C382B" w14:textId="3FDB47ED"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Chap. XXX -  De l’analyse</w:t>
            </w:r>
            <w:r>
              <w:rPr>
                <w:noProof/>
              </w:rPr>
              <w:drawing>
                <wp:anchor distT="36576" distB="36576" distL="36576" distR="36576" simplePos="0" relativeHeight="251660288" behindDoc="0" locked="0" layoutInCell="1" hidden="0" allowOverlap="1" wp14:anchorId="6C713A9C" wp14:editId="4EE25594">
                  <wp:simplePos x="0" y="0"/>
                  <wp:positionH relativeFrom="column">
                    <wp:posOffset>4409440</wp:posOffset>
                  </wp:positionH>
                  <wp:positionV relativeFrom="paragraph">
                    <wp:posOffset>8171815</wp:posOffset>
                  </wp:positionV>
                  <wp:extent cx="2519045" cy="2195830"/>
                  <wp:effectExtent l="0" t="0" r="0" b="0"/>
                  <wp:wrapNone/>
                  <wp:docPr id="21133907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19045" cy="2195830"/>
                          </a:xfrm>
                          <a:prstGeom prst="rect">
                            <a:avLst/>
                          </a:prstGeom>
                          <a:ln/>
                        </pic:spPr>
                      </pic:pic>
                    </a:graphicData>
                  </a:graphic>
                </wp:anchor>
              </w:drawing>
            </w:r>
            <w:r>
              <w:rPr>
                <w:noProof/>
              </w:rPr>
              <w:drawing>
                <wp:anchor distT="36576" distB="36576" distL="36576" distR="36576" simplePos="0" relativeHeight="251661312" behindDoc="0" locked="0" layoutInCell="1" hidden="0" allowOverlap="1" wp14:anchorId="5BF9DF9D" wp14:editId="1C046381">
                  <wp:simplePos x="0" y="0"/>
                  <wp:positionH relativeFrom="column">
                    <wp:posOffset>4409440</wp:posOffset>
                  </wp:positionH>
                  <wp:positionV relativeFrom="paragraph">
                    <wp:posOffset>8171815</wp:posOffset>
                  </wp:positionV>
                  <wp:extent cx="2519045" cy="2195830"/>
                  <wp:effectExtent l="0" t="0" r="0" b="0"/>
                  <wp:wrapNone/>
                  <wp:docPr id="21133907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19045" cy="2195830"/>
                          </a:xfrm>
                          <a:prstGeom prst="rect">
                            <a:avLst/>
                          </a:prstGeom>
                          <a:ln/>
                        </pic:spPr>
                      </pic:pic>
                    </a:graphicData>
                  </a:graphic>
                </wp:anchor>
              </w:drawing>
            </w:r>
            <w:r>
              <w:rPr>
                <w:noProof/>
              </w:rPr>
              <w:drawing>
                <wp:anchor distT="36576" distB="36576" distL="36576" distR="36576" simplePos="0" relativeHeight="251662336" behindDoc="0" locked="0" layoutInCell="1" hidden="0" allowOverlap="1" wp14:anchorId="6F69FAB1" wp14:editId="4FC3464B">
                  <wp:simplePos x="0" y="0"/>
                  <wp:positionH relativeFrom="column">
                    <wp:posOffset>4409440</wp:posOffset>
                  </wp:positionH>
                  <wp:positionV relativeFrom="paragraph">
                    <wp:posOffset>8171815</wp:posOffset>
                  </wp:positionV>
                  <wp:extent cx="2519045" cy="2195830"/>
                  <wp:effectExtent l="0" t="0" r="0" b="0"/>
                  <wp:wrapNone/>
                  <wp:docPr id="21133907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19045" cy="2195830"/>
                          </a:xfrm>
                          <a:prstGeom prst="rect">
                            <a:avLst/>
                          </a:prstGeom>
                          <a:ln/>
                        </pic:spPr>
                      </pic:pic>
                    </a:graphicData>
                  </a:graphic>
                </wp:anchor>
              </w:drawing>
            </w:r>
            <w:r>
              <w:rPr>
                <w:noProof/>
              </w:rPr>
              <w:drawing>
                <wp:anchor distT="36576" distB="36576" distL="36576" distR="36576" simplePos="0" relativeHeight="251663360" behindDoc="0" locked="0" layoutInCell="1" hidden="0" allowOverlap="1" wp14:anchorId="116C9DF7" wp14:editId="0EF4C3BB">
                  <wp:simplePos x="0" y="0"/>
                  <wp:positionH relativeFrom="column">
                    <wp:posOffset>4409440</wp:posOffset>
                  </wp:positionH>
                  <wp:positionV relativeFrom="paragraph">
                    <wp:posOffset>8171815</wp:posOffset>
                  </wp:positionV>
                  <wp:extent cx="2519045" cy="2195830"/>
                  <wp:effectExtent l="0" t="0" r="0" b="0"/>
                  <wp:wrapNone/>
                  <wp:docPr id="21133907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19045" cy="2195830"/>
                          </a:xfrm>
                          <a:prstGeom prst="rect">
                            <a:avLst/>
                          </a:prstGeom>
                          <a:ln/>
                        </pic:spPr>
                      </pic:pic>
                    </a:graphicData>
                  </a:graphic>
                </wp:anchor>
              </w:drawing>
            </w:r>
          </w:p>
        </w:tc>
      </w:tr>
      <w:tr w:rsidR="0088264B" w14:paraId="576DFB9B" w14:textId="77777777">
        <w:trPr>
          <w:trHeight w:val="17"/>
        </w:trPr>
        <w:tc>
          <w:tcPr>
            <w:tcW w:w="10065" w:type="dxa"/>
            <w:gridSpan w:val="3"/>
            <w:shd w:val="clear" w:color="auto" w:fill="93CDDC"/>
            <w:tcMar>
              <w:top w:w="100" w:type="dxa"/>
              <w:left w:w="100" w:type="dxa"/>
              <w:bottom w:w="100" w:type="dxa"/>
              <w:right w:w="100" w:type="dxa"/>
            </w:tcMar>
          </w:tcPr>
          <w:p w14:paraId="569619F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Objetivos do autor </w:t>
            </w:r>
          </w:p>
        </w:tc>
      </w:tr>
      <w:tr w:rsidR="0088264B" w14:paraId="15D4528B" w14:textId="77777777">
        <w:trPr>
          <w:trHeight w:val="17"/>
        </w:trPr>
        <w:tc>
          <w:tcPr>
            <w:tcW w:w="10065" w:type="dxa"/>
            <w:gridSpan w:val="3"/>
            <w:tcMar>
              <w:top w:w="100" w:type="dxa"/>
              <w:left w:w="100" w:type="dxa"/>
              <w:bottom w:w="100" w:type="dxa"/>
              <w:right w:w="100" w:type="dxa"/>
            </w:tcMar>
          </w:tcPr>
          <w:p w14:paraId="315A46F8" w14:textId="77777777" w:rsidR="0088264B" w:rsidRPr="00EA2124"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rPr>
              <w:t xml:space="preserve">« [...] une tentative hardie [...] d’appliquer la méthode historique à l’étude de la grammaire. »  </w:t>
            </w:r>
            <w:r w:rsidRPr="00EA2124">
              <w:rPr>
                <w:rFonts w:ascii="Times New Roman" w:eastAsia="Times New Roman" w:hAnsi="Times New Roman" w:cs="Times New Roman"/>
                <w:sz w:val="24"/>
                <w:szCs w:val="24"/>
                <w:lang w:val="es-419"/>
              </w:rPr>
              <w:t>(p. v, EXTRAIT DE LA PRÉFACE de la troisième édition)</w:t>
            </w:r>
          </w:p>
          <w:p w14:paraId="6F6173E1" w14:textId="77777777" w:rsidR="0088264B" w:rsidRPr="00EA2124" w:rsidRDefault="0088264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es-419"/>
              </w:rPr>
            </w:pPr>
          </w:p>
          <w:p w14:paraId="08A76C23" w14:textId="77777777" w:rsidR="0088264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EA2124">
              <w:rPr>
                <w:rFonts w:ascii="Times New Roman" w:eastAsia="Times New Roman" w:hAnsi="Times New Roman" w:cs="Times New Roman"/>
                <w:sz w:val="24"/>
                <w:szCs w:val="24"/>
                <w:lang w:val="es-419"/>
              </w:rPr>
              <w:t xml:space="preserve">« [...] dans sa recherche infatigable de la vérité. [...] les résultats actuels de la science que M. Ayer nous offre dans les pages où il traite des lois qui ont présidé à la formation de notre langue. </w:t>
            </w:r>
            <w:r>
              <w:rPr>
                <w:rFonts w:ascii="Times New Roman" w:eastAsia="Times New Roman" w:hAnsi="Times New Roman" w:cs="Times New Roman"/>
                <w:sz w:val="24"/>
                <w:szCs w:val="24"/>
              </w:rPr>
              <w:t>[...] nous parait heureux et dicté par la méthode rationnelle et logique [...] »  (p. vii-viii, PRÉFACE de la quatrième édition)</w:t>
            </w:r>
          </w:p>
          <w:p w14:paraId="19EC35B0" w14:textId="77777777" w:rsidR="0088264B" w:rsidRDefault="0088264B">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tc>
      </w:tr>
      <w:tr w:rsidR="0088264B" w14:paraId="0412BED6" w14:textId="77777777">
        <w:tc>
          <w:tcPr>
            <w:tcW w:w="10065" w:type="dxa"/>
            <w:gridSpan w:val="3"/>
            <w:shd w:val="clear" w:color="auto" w:fill="93CDDC"/>
            <w:tcMar>
              <w:top w:w="100" w:type="dxa"/>
              <w:left w:w="100" w:type="dxa"/>
              <w:bottom w:w="100" w:type="dxa"/>
              <w:right w:w="100" w:type="dxa"/>
            </w:tcMar>
          </w:tcPr>
          <w:p w14:paraId="0D6F5B6B"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Concepção de língua, norma e gramática</w:t>
            </w:r>
          </w:p>
        </w:tc>
      </w:tr>
      <w:tr w:rsidR="0088264B" w14:paraId="75CDD4C0" w14:textId="77777777">
        <w:trPr>
          <w:trHeight w:val="17"/>
        </w:trPr>
        <w:tc>
          <w:tcPr>
            <w:tcW w:w="10065" w:type="dxa"/>
            <w:gridSpan w:val="3"/>
            <w:tcMar>
              <w:top w:w="100" w:type="dxa"/>
              <w:left w:w="100" w:type="dxa"/>
              <w:bottom w:w="100" w:type="dxa"/>
              <w:right w:w="100" w:type="dxa"/>
            </w:tcMar>
          </w:tcPr>
          <w:p w14:paraId="5E2FDC9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Gramática:</w:t>
            </w:r>
          </w:p>
          <w:p w14:paraId="6D2ED702" w14:textId="77777777" w:rsidR="0088264B"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w:t>
            </w:r>
            <w:r>
              <w:rPr>
                <w:rFonts w:ascii="Times New Roman" w:eastAsia="Times New Roman" w:hAnsi="Times New Roman" w:cs="Times New Roman"/>
                <w:b/>
                <w:color w:val="000000"/>
                <w:sz w:val="24"/>
                <w:szCs w:val="24"/>
              </w:rPr>
              <w:t>grammaire</w:t>
            </w:r>
            <w:r>
              <w:rPr>
                <w:rFonts w:ascii="Times New Roman" w:eastAsia="Times New Roman" w:hAnsi="Times New Roman" w:cs="Times New Roman"/>
                <w:color w:val="000000"/>
                <w:sz w:val="24"/>
                <w:szCs w:val="24"/>
              </w:rPr>
              <w:t xml:space="preserve"> est la science du langage. Elle a pour objet l’expression de la pensée par la parole. [...] La grammaire n’enseigne done pas comme l’on </w:t>
            </w:r>
            <w:r>
              <w:rPr>
                <w:rFonts w:ascii="Times New Roman" w:eastAsia="Times New Roman" w:hAnsi="Times New Roman" w:cs="Times New Roman"/>
                <w:b/>
                <w:color w:val="000000"/>
                <w:sz w:val="24"/>
                <w:szCs w:val="24"/>
              </w:rPr>
              <w:t>doit parler</w:t>
            </w:r>
            <w:r>
              <w:rPr>
                <w:rFonts w:ascii="Times New Roman" w:eastAsia="Times New Roman" w:hAnsi="Times New Roman" w:cs="Times New Roman"/>
                <w:color w:val="000000"/>
                <w:sz w:val="24"/>
                <w:szCs w:val="24"/>
              </w:rPr>
              <w:t xml:space="preserve">, mais comme l’on </w:t>
            </w:r>
            <w:r>
              <w:rPr>
                <w:rFonts w:ascii="Times New Roman" w:eastAsia="Times New Roman" w:hAnsi="Times New Roman" w:cs="Times New Roman"/>
                <w:b/>
                <w:color w:val="000000"/>
                <w:sz w:val="24"/>
                <w:szCs w:val="24"/>
              </w:rPr>
              <w:t>parle</w:t>
            </w:r>
            <w:r>
              <w:rPr>
                <w:rFonts w:ascii="Times New Roman" w:eastAsia="Times New Roman" w:hAnsi="Times New Roman" w:cs="Times New Roman"/>
                <w:color w:val="000000"/>
                <w:sz w:val="24"/>
                <w:szCs w:val="24"/>
              </w:rPr>
              <w:t>.»  (p. 1, INTRODUCTION)</w:t>
            </w:r>
          </w:p>
          <w:p w14:paraId="38FB6A7A" w14:textId="77777777" w:rsidR="0088264B"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 </w:t>
            </w:r>
            <w:r>
              <w:rPr>
                <w:rFonts w:ascii="Times New Roman" w:eastAsia="Times New Roman" w:hAnsi="Times New Roman" w:cs="Times New Roman"/>
                <w:b/>
                <w:color w:val="000000"/>
                <w:sz w:val="24"/>
                <w:szCs w:val="24"/>
              </w:rPr>
              <w:t>grammaire</w:t>
            </w:r>
            <w:r>
              <w:rPr>
                <w:rFonts w:ascii="Times New Roman" w:eastAsia="Times New Roman" w:hAnsi="Times New Roman" w:cs="Times New Roman"/>
                <w:color w:val="000000"/>
                <w:sz w:val="24"/>
                <w:szCs w:val="24"/>
              </w:rPr>
              <w:t xml:space="preserve"> tient surtout compte de l’état actuel de la langue ; mais l’usage présent dépend de l’usage ancien, et la plupart des faits grammaticaux ne s’expliquent que par leur </w:t>
            </w:r>
            <w:r>
              <w:rPr>
                <w:rFonts w:ascii="Times New Roman" w:eastAsia="Times New Roman" w:hAnsi="Times New Roman" w:cs="Times New Roman"/>
                <w:b/>
                <w:color w:val="000000"/>
                <w:sz w:val="24"/>
                <w:szCs w:val="24"/>
              </w:rPr>
              <w:t xml:space="preserve">comparaison </w:t>
            </w:r>
            <w:r>
              <w:rPr>
                <w:rFonts w:ascii="Times New Roman" w:eastAsia="Times New Roman" w:hAnsi="Times New Roman" w:cs="Times New Roman"/>
                <w:color w:val="000000"/>
                <w:sz w:val="24"/>
                <w:szCs w:val="24"/>
              </w:rPr>
              <w:t>avec les formes anciennes. L’étude de la grammaire doit done s’appyer constamment sur l’histoire de la langue, qui seule peut donner la raison des règles et rendre compte des exceptions.»  (p. 3, INTRODUCTION)</w:t>
            </w:r>
          </w:p>
          <w:p w14:paraId="2030A2D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Língua:</w:t>
            </w:r>
          </w:p>
          <w:p w14:paraId="0BDB4409" w14:textId="7FB8F721" w:rsidR="0088264B" w:rsidRPr="00EA2124" w:rsidRDefault="00000000" w:rsidP="00EA2124">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langage est une faculté qui n’appartient qu’à l’homme et le distingue des animaux. Il n’est pas le produit de l’invention et ne s’apprend pas comme un art ; mais, comme tous les dons naturels, ils se développe par l’exercice. [...] Le language est naturel à l’homme.»  (p. 1, INTRODUCTION)</w:t>
            </w:r>
          </w:p>
        </w:tc>
      </w:tr>
      <w:tr w:rsidR="0088264B" w14:paraId="489F56B8" w14:textId="77777777">
        <w:trPr>
          <w:trHeight w:val="17"/>
        </w:trPr>
        <w:tc>
          <w:tcPr>
            <w:tcW w:w="10065" w:type="dxa"/>
            <w:gridSpan w:val="3"/>
            <w:shd w:val="clear" w:color="auto" w:fill="93CDDC"/>
            <w:tcMar>
              <w:top w:w="100" w:type="dxa"/>
              <w:left w:w="100" w:type="dxa"/>
              <w:bottom w:w="100" w:type="dxa"/>
              <w:right w:w="100" w:type="dxa"/>
            </w:tcMar>
          </w:tcPr>
          <w:p w14:paraId="7467AE8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Classe de palavras</w:t>
            </w:r>
          </w:p>
        </w:tc>
      </w:tr>
      <w:tr w:rsidR="0088264B" w14:paraId="4D456CEA" w14:textId="77777777">
        <w:trPr>
          <w:trHeight w:val="17"/>
        </w:trPr>
        <w:tc>
          <w:tcPr>
            <w:tcW w:w="10065" w:type="dxa"/>
            <w:gridSpan w:val="3"/>
            <w:tcMar>
              <w:top w:w="100" w:type="dxa"/>
              <w:left w:w="100" w:type="dxa"/>
              <w:bottom w:w="100" w:type="dxa"/>
              <w:right w:w="100" w:type="dxa"/>
            </w:tcMar>
          </w:tcPr>
          <w:p w14:paraId="23CEBD6B"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classes: Substantivos, Adjetivos, Artigos, Pronomes, Verbos, Advérbios, Preposição, Conjunções, Interjeições.</w:t>
            </w:r>
          </w:p>
        </w:tc>
      </w:tr>
      <w:tr w:rsidR="0088264B" w14:paraId="19529BB6"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7B702BF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Especificidades</w:t>
            </w:r>
          </w:p>
        </w:tc>
      </w:tr>
      <w:tr w:rsidR="0088264B" w14:paraId="3C5F0D9D" w14:textId="77777777">
        <w:trPr>
          <w:trHeight w:val="17"/>
        </w:trPr>
        <w:tc>
          <w:tcPr>
            <w:tcW w:w="10065" w:type="dxa"/>
            <w:gridSpan w:val="3"/>
            <w:tcBorders>
              <w:top w:val="single" w:sz="4" w:space="0" w:color="000000"/>
            </w:tcBorders>
            <w:tcMar>
              <w:top w:w="100" w:type="dxa"/>
              <w:left w:w="100" w:type="dxa"/>
              <w:bottom w:w="100" w:type="dxa"/>
              <w:right w:w="100" w:type="dxa"/>
            </w:tcMar>
          </w:tcPr>
          <w:p w14:paraId="112C62D2" w14:textId="77777777" w:rsidR="0088264B" w:rsidRDefault="00000000">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i/>
                <w:color w:val="000000"/>
                <w:sz w:val="24"/>
                <w:szCs w:val="24"/>
              </w:rPr>
              <w:t xml:space="preserve">“Grammaire Comparée de la Langue Française” </w:t>
            </w:r>
            <w:r>
              <w:rPr>
                <w:rFonts w:ascii="Times New Roman" w:eastAsia="Times New Roman" w:hAnsi="Times New Roman" w:cs="Times New Roman"/>
                <w:color w:val="000000"/>
                <w:sz w:val="24"/>
                <w:szCs w:val="24"/>
              </w:rPr>
              <w:t>é guiada pelo método histórico, racional e lógico inspirado pelos estudos de F. Diez, em uma época que o método d Chapsal reinava em quase todas as escolas francesa;</w:t>
            </w:r>
          </w:p>
          <w:p w14:paraId="6ED7D3A0" w14:textId="77777777" w:rsidR="0088264B" w:rsidRDefault="00000000">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publicação francesa </w:t>
            </w:r>
            <w:r>
              <w:rPr>
                <w:rFonts w:ascii="Times New Roman" w:eastAsia="Times New Roman" w:hAnsi="Times New Roman" w:cs="Times New Roman"/>
                <w:i/>
                <w:color w:val="000000"/>
                <w:sz w:val="24"/>
                <w:szCs w:val="24"/>
              </w:rPr>
              <w:t>“La Revue Critique”</w:t>
            </w:r>
            <w:r>
              <w:rPr>
                <w:rFonts w:ascii="Times New Roman" w:eastAsia="Times New Roman" w:hAnsi="Times New Roman" w:cs="Times New Roman"/>
                <w:color w:val="000000"/>
                <w:sz w:val="24"/>
                <w:szCs w:val="24"/>
              </w:rPr>
              <w:t xml:space="preserve"> exalta a profusão de detalhes da obra e afirma que ela se destina apenas a professores ou alunos de liceus já avançados;</w:t>
            </w:r>
          </w:p>
          <w:p w14:paraId="68DE89F3" w14:textId="77777777" w:rsidR="0088264B" w:rsidRDefault="00000000">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Em 1877, o Ministério da Instrução Pública na França a recomendou oficialmente para os estudos preparatórios à agregação de gramática.</w:t>
            </w:r>
          </w:p>
        </w:tc>
      </w:tr>
      <w:tr w:rsidR="0088264B" w14:paraId="2210ACDF" w14:textId="77777777">
        <w:trPr>
          <w:trHeight w:val="219"/>
        </w:trPr>
        <w:tc>
          <w:tcPr>
            <w:tcW w:w="10065" w:type="dxa"/>
            <w:gridSpan w:val="3"/>
            <w:tcBorders>
              <w:bottom w:val="single" w:sz="4" w:space="0" w:color="000000"/>
            </w:tcBorders>
            <w:shd w:val="clear" w:color="auto" w:fill="93CDDC"/>
            <w:tcMar>
              <w:top w:w="100" w:type="dxa"/>
              <w:left w:w="100" w:type="dxa"/>
              <w:bottom w:w="100" w:type="dxa"/>
              <w:right w:w="100" w:type="dxa"/>
            </w:tcMar>
          </w:tcPr>
          <w:p w14:paraId="259A0DD0" w14:textId="77777777" w:rsidR="0088264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sz w:val="24"/>
                <w:szCs w:val="24"/>
              </w:rPr>
              <w:t>Corpus de referência</w:t>
            </w:r>
          </w:p>
        </w:tc>
      </w:tr>
      <w:tr w:rsidR="0088264B" w14:paraId="54651C3D" w14:textId="77777777">
        <w:trPr>
          <w:trHeight w:val="17"/>
        </w:trPr>
        <w:tc>
          <w:tcPr>
            <w:tcW w:w="10065" w:type="dxa"/>
            <w:gridSpan w:val="3"/>
            <w:tcBorders>
              <w:top w:val="single" w:sz="4" w:space="0" w:color="000000"/>
            </w:tcBorders>
            <w:tcMar>
              <w:top w:w="100" w:type="dxa"/>
              <w:left w:w="100" w:type="dxa"/>
              <w:bottom w:w="100" w:type="dxa"/>
              <w:right w:w="100" w:type="dxa"/>
            </w:tcMar>
          </w:tcPr>
          <w:p w14:paraId="74C4A559"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Usos não referenciados ;</w:t>
            </w:r>
          </w:p>
          <w:p w14:paraId="37084C55"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sz w:val="24"/>
                <w:szCs w:val="24"/>
              </w:rPr>
              <w:t>Usos de textos literários escritos até o fim do século XVIII.</w:t>
            </w:r>
          </w:p>
        </w:tc>
      </w:tr>
      <w:tr w:rsidR="0088264B" w14:paraId="047F2026"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45F9355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 / referência recebida</w:t>
            </w:r>
          </w:p>
        </w:tc>
      </w:tr>
      <w:tr w:rsidR="0088264B" w14:paraId="2984A16B" w14:textId="77777777">
        <w:trPr>
          <w:trHeight w:val="17"/>
        </w:trPr>
        <w:tc>
          <w:tcPr>
            <w:tcW w:w="10065" w:type="dxa"/>
            <w:gridSpan w:val="3"/>
            <w:tcBorders>
              <w:top w:val="single" w:sz="4" w:space="0" w:color="000000"/>
            </w:tcBorders>
            <w:tcMar>
              <w:top w:w="100" w:type="dxa"/>
              <w:left w:w="100" w:type="dxa"/>
              <w:bottom w:w="100" w:type="dxa"/>
              <w:right w:w="100" w:type="dxa"/>
            </w:tcMar>
          </w:tcPr>
          <w:p w14:paraId="1C00FC5E" w14:textId="77777777" w:rsidR="0088264B" w:rsidRDefault="00000000">
            <w:pPr>
              <w:widowControl w:val="0"/>
              <w:pBdr>
                <w:top w:val="nil"/>
                <w:left w:val="nil"/>
                <w:bottom w:val="nil"/>
                <w:right w:val="nil"/>
                <w:between w:val="nil"/>
              </w:pBdr>
              <w:spacing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autor cita muitos autores ao longo da gramática, ao todo 29 nomes. O filólogo alemão Friedrich </w:t>
            </w:r>
            <w:r>
              <w:rPr>
                <w:rFonts w:ascii="Times New Roman" w:eastAsia="Times New Roman" w:hAnsi="Times New Roman" w:cs="Times New Roman"/>
                <w:sz w:val="24"/>
                <w:szCs w:val="24"/>
              </w:rPr>
              <w:lastRenderedPageBreak/>
              <w:t>Christian Diez (1794-1876) e o gramático autodidata francês Auguste Brachet (1845-1898) são bastante referenciados na introdução obra; por sua vez, o historiador, linguista, cientista das religiões, e mitólogo alemão Max Müller (1823-1900) é citado nos capítulos iniciais.</w:t>
            </w:r>
          </w:p>
          <w:p w14:paraId="6CDE5C37" w14:textId="77777777" w:rsidR="0088264B" w:rsidRDefault="00000000">
            <w:pPr>
              <w:widowControl w:val="0"/>
              <w:pBdr>
                <w:top w:val="nil"/>
                <w:left w:val="nil"/>
                <w:bottom w:val="nil"/>
                <w:right w:val="nil"/>
                <w:between w:val="nil"/>
              </w:pBdr>
              <w:spacing w:line="240" w:lineRule="auto"/>
              <w:ind w:firstLine="6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Ayer cita “</w:t>
            </w:r>
            <w:r>
              <w:rPr>
                <w:rFonts w:ascii="Times New Roman" w:eastAsia="Times New Roman" w:hAnsi="Times New Roman" w:cs="Times New Roman"/>
                <w:i/>
                <w:sz w:val="24"/>
                <w:szCs w:val="24"/>
              </w:rPr>
              <w:t>as principais gramáticas francesas antigas e modernas (Port-Royal, Dumarsais, Condillac, Beauzée, Lemare, Boniface, Girault-Duvivier, Poitevin, B. Jullien, etc.), assim como os dicionários da Academia, de Bescherelle e de Littré</w:t>
            </w:r>
            <w:r>
              <w:rPr>
                <w:rFonts w:ascii="Times New Roman" w:eastAsia="Times New Roman" w:hAnsi="Times New Roman" w:cs="Times New Roman"/>
                <w:sz w:val="24"/>
                <w:szCs w:val="24"/>
              </w:rPr>
              <w:t>.” (p. xi)</w:t>
            </w:r>
          </w:p>
        </w:tc>
      </w:tr>
      <w:tr w:rsidR="0088264B" w14:paraId="5E857991"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60314DE0"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lastRenderedPageBreak/>
              <w:t>Inspiração/referência exercida</w:t>
            </w:r>
          </w:p>
        </w:tc>
      </w:tr>
      <w:tr w:rsidR="0088264B" w14:paraId="23F9B9E6" w14:textId="77777777">
        <w:trPr>
          <w:trHeight w:val="17"/>
        </w:trPr>
        <w:tc>
          <w:tcPr>
            <w:tcW w:w="10065" w:type="dxa"/>
            <w:gridSpan w:val="3"/>
            <w:tcBorders>
              <w:top w:val="single" w:sz="4" w:space="0" w:color="000000"/>
            </w:tcBorders>
            <w:tcMar>
              <w:top w:w="100" w:type="dxa"/>
              <w:left w:w="100" w:type="dxa"/>
              <w:bottom w:w="100" w:type="dxa"/>
              <w:right w:w="100" w:type="dxa"/>
            </w:tcMar>
          </w:tcPr>
          <w:p w14:paraId="41959ECB"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88264B" w14:paraId="21FD04C4"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3E5D727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Estado da arte</w:t>
            </w:r>
          </w:p>
        </w:tc>
      </w:tr>
      <w:tr w:rsidR="0088264B" w14:paraId="32F36DA3" w14:textId="77777777">
        <w:trPr>
          <w:trHeight w:val="17"/>
        </w:trPr>
        <w:tc>
          <w:tcPr>
            <w:tcW w:w="10065" w:type="dxa"/>
            <w:gridSpan w:val="3"/>
            <w:tcBorders>
              <w:top w:val="single" w:sz="4" w:space="0" w:color="000000"/>
            </w:tcBorders>
            <w:tcMar>
              <w:top w:w="100" w:type="dxa"/>
              <w:left w:w="100" w:type="dxa"/>
              <w:bottom w:w="100" w:type="dxa"/>
              <w:right w:w="100" w:type="dxa"/>
            </w:tcMar>
          </w:tcPr>
          <w:p w14:paraId="02AC9C43" w14:textId="77777777" w:rsidR="0088264B" w:rsidRDefault="00000000">
            <w:pPr>
              <w:spacing w:line="240" w:lineRule="auto"/>
              <w:rPr>
                <w:rFonts w:ascii="Times New Roman" w:eastAsia="Times New Roman" w:hAnsi="Times New Roman" w:cs="Times New Roman"/>
                <w:b/>
                <w:sz w:val="24"/>
                <w:szCs w:val="24"/>
              </w:rPr>
            </w:pPr>
            <w:r w:rsidRPr="00EA2124">
              <w:rPr>
                <w:rFonts w:ascii="Times New Roman" w:eastAsia="Times New Roman" w:hAnsi="Times New Roman" w:cs="Times New Roman"/>
                <w:smallCaps/>
                <w:sz w:val="24"/>
                <w:szCs w:val="24"/>
                <w:lang w:val="es-419"/>
              </w:rPr>
              <w:t>BARGALLÓ ESCRIVÀ</w:t>
            </w:r>
            <w:r w:rsidRPr="00EA2124">
              <w:rPr>
                <w:rFonts w:ascii="Times New Roman" w:eastAsia="Times New Roman" w:hAnsi="Times New Roman" w:cs="Times New Roman"/>
                <w:sz w:val="24"/>
                <w:szCs w:val="24"/>
                <w:lang w:val="es-419"/>
              </w:rPr>
              <w:t>, Maria. El análisis en la enseñanza de la gramática a principios del siglo XX:</w:t>
            </w:r>
            <w:r w:rsidRPr="00EA2124">
              <w:rPr>
                <w:rFonts w:ascii="Times New Roman" w:eastAsia="Times New Roman" w:hAnsi="Times New Roman" w:cs="Times New Roman"/>
                <w:b/>
                <w:sz w:val="24"/>
                <w:szCs w:val="24"/>
                <w:lang w:val="es-419"/>
              </w:rPr>
              <w:t xml:space="preserve"> </w:t>
            </w:r>
            <w:r w:rsidRPr="00EA2124">
              <w:rPr>
                <w:rFonts w:ascii="Times New Roman" w:eastAsia="Times New Roman" w:hAnsi="Times New Roman" w:cs="Times New Roman"/>
                <w:sz w:val="24"/>
                <w:szCs w:val="24"/>
                <w:lang w:val="es-419"/>
              </w:rPr>
              <w:t xml:space="preserve">una estrategia didáctica en evolución.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Ianua. Revista Philologica Romanica</w:t>
            </w:r>
            <w:r>
              <w:rPr>
                <w:rFonts w:ascii="Times New Roman" w:eastAsia="Times New Roman" w:hAnsi="Times New Roman" w:cs="Times New Roman"/>
                <w:sz w:val="24"/>
                <w:szCs w:val="24"/>
              </w:rPr>
              <w:t>, n. 15-16, (2015). p. 121-138. Disponível em: https://dialnet.unirioja.es/servlet/articulo?codigo=6318344 . Acesso em: 22 maio 2025.</w:t>
            </w:r>
          </w:p>
        </w:tc>
      </w:tr>
      <w:tr w:rsidR="0088264B" w14:paraId="0C081E67"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3FC1E201"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Informação complementar</w:t>
            </w:r>
          </w:p>
        </w:tc>
      </w:tr>
      <w:tr w:rsidR="0088264B" w14:paraId="73BCAD94" w14:textId="77777777">
        <w:trPr>
          <w:trHeight w:val="17"/>
        </w:trPr>
        <w:tc>
          <w:tcPr>
            <w:tcW w:w="10065" w:type="dxa"/>
            <w:gridSpan w:val="3"/>
            <w:tcBorders>
              <w:top w:val="single" w:sz="4" w:space="0" w:color="000000"/>
            </w:tcBorders>
            <w:tcMar>
              <w:top w:w="100" w:type="dxa"/>
              <w:left w:w="100" w:type="dxa"/>
              <w:bottom w:w="100" w:type="dxa"/>
              <w:right w:w="100" w:type="dxa"/>
            </w:tcMar>
          </w:tcPr>
          <w:p w14:paraId="2E830752" w14:textId="77777777" w:rsidR="0088264B"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Cyprien Ayer faleceu um ano antes da publicação da 4ª edição da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 xml:space="preserve">“Grammaire Comparée de la Langue Française” </w:t>
            </w:r>
            <w:r>
              <w:rPr>
                <w:rFonts w:ascii="Times New Roman" w:eastAsia="Times New Roman" w:hAnsi="Times New Roman" w:cs="Times New Roman"/>
                <w:color w:val="000000"/>
                <w:sz w:val="24"/>
                <w:szCs w:val="24"/>
              </w:rPr>
              <w:t>ser publicada.</w:t>
            </w:r>
          </w:p>
        </w:tc>
      </w:tr>
      <w:tr w:rsidR="0088264B" w14:paraId="692BBBD0"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285BE9F9"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Redator/Revisor</w:t>
            </w:r>
          </w:p>
        </w:tc>
      </w:tr>
      <w:tr w:rsidR="0088264B" w14:paraId="301E335E" w14:textId="77777777">
        <w:trPr>
          <w:trHeight w:val="17"/>
        </w:trPr>
        <w:tc>
          <w:tcPr>
            <w:tcW w:w="10065" w:type="dxa"/>
            <w:gridSpan w:val="3"/>
            <w:tcBorders>
              <w:top w:val="single" w:sz="4" w:space="0" w:color="000000"/>
            </w:tcBorders>
            <w:tcMar>
              <w:top w:w="100" w:type="dxa"/>
              <w:left w:w="100" w:type="dxa"/>
              <w:bottom w:w="100" w:type="dxa"/>
              <w:right w:w="100" w:type="dxa"/>
            </w:tcMar>
          </w:tcPr>
          <w:p w14:paraId="4DD109E8" w14:textId="77777777" w:rsidR="0088264B" w:rsidRDefault="00000000">
            <w:pPr>
              <w:widowControl w:val="0"/>
              <w:pBdr>
                <w:top w:val="nil"/>
                <w:left w:val="nil"/>
                <w:bottom w:val="nil"/>
                <w:right w:val="nil"/>
                <w:between w:val="nil"/>
              </w:pBdr>
              <w:tabs>
                <w:tab w:val="left" w:pos="7596"/>
              </w:tabs>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Diogo Alexandre Nunes Silva (Redator)</w:t>
            </w:r>
          </w:p>
          <w:p w14:paraId="6775DFF9" w14:textId="77777777" w:rsidR="0088264B" w:rsidRDefault="00000000">
            <w:pPr>
              <w:widowControl w:val="0"/>
              <w:pBdr>
                <w:top w:val="nil"/>
                <w:left w:val="nil"/>
                <w:bottom w:val="nil"/>
                <w:right w:val="nil"/>
                <w:between w:val="nil"/>
              </w:pBdr>
              <w:tabs>
                <w:tab w:val="left" w:pos="7596"/>
              </w:tabs>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Arielly de Assis Cruz (Revisora)</w:t>
            </w:r>
          </w:p>
        </w:tc>
      </w:tr>
      <w:tr w:rsidR="0088264B" w14:paraId="10F2BAB1"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11A563CF"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de análise</w:t>
            </w:r>
          </w:p>
        </w:tc>
      </w:tr>
      <w:tr w:rsidR="0088264B" w14:paraId="159502A3" w14:textId="77777777">
        <w:trPr>
          <w:trHeight w:val="17"/>
        </w:trPr>
        <w:tc>
          <w:tcPr>
            <w:tcW w:w="10065" w:type="dxa"/>
            <w:gridSpan w:val="3"/>
            <w:tcBorders>
              <w:top w:val="single" w:sz="4" w:space="0" w:color="000000"/>
            </w:tcBorders>
            <w:tcMar>
              <w:top w:w="100" w:type="dxa"/>
              <w:left w:w="100" w:type="dxa"/>
              <w:bottom w:w="100" w:type="dxa"/>
              <w:right w:w="100" w:type="dxa"/>
            </w:tcMar>
          </w:tcPr>
          <w:p w14:paraId="4AF0DE82"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21/10/2025</w:t>
            </w:r>
          </w:p>
        </w:tc>
      </w:tr>
      <w:tr w:rsidR="0088264B" w14:paraId="6DA0012D"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1092DFCA" w14:textId="77777777" w:rsidR="0088264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sz w:val="24"/>
                <w:szCs w:val="24"/>
              </w:rPr>
              <w:t>Obra completa (anexo do pdf)</w:t>
            </w:r>
          </w:p>
        </w:tc>
      </w:tr>
      <w:tr w:rsidR="0088264B" w14:paraId="500E16EB" w14:textId="77777777">
        <w:trPr>
          <w:trHeight w:val="17"/>
        </w:trPr>
        <w:tc>
          <w:tcPr>
            <w:tcW w:w="10065" w:type="dxa"/>
            <w:gridSpan w:val="3"/>
            <w:tcBorders>
              <w:top w:val="single" w:sz="4" w:space="0" w:color="000000"/>
              <w:bottom w:val="single" w:sz="4" w:space="0" w:color="000000"/>
            </w:tcBorders>
            <w:tcMar>
              <w:top w:w="100" w:type="dxa"/>
              <w:left w:w="100" w:type="dxa"/>
              <w:bottom w:w="100" w:type="dxa"/>
              <w:right w:w="100" w:type="dxa"/>
            </w:tcMar>
          </w:tcPr>
          <w:p w14:paraId="2E5A0F6A"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Obra completa anexada</w:t>
            </w:r>
          </w:p>
        </w:tc>
      </w:tr>
      <w:tr w:rsidR="0088264B" w14:paraId="4CA89665"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4792252A"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Foto do autor (anexo de imagem)</w:t>
            </w:r>
          </w:p>
        </w:tc>
      </w:tr>
      <w:tr w:rsidR="0088264B" w14:paraId="2FC38311" w14:textId="77777777">
        <w:trPr>
          <w:trHeight w:val="17"/>
        </w:trPr>
        <w:tc>
          <w:tcPr>
            <w:tcW w:w="10065" w:type="dxa"/>
            <w:gridSpan w:val="3"/>
            <w:tcBorders>
              <w:top w:val="single" w:sz="4" w:space="0" w:color="000000"/>
            </w:tcBorders>
            <w:tcMar>
              <w:top w:w="100" w:type="dxa"/>
              <w:left w:w="100" w:type="dxa"/>
              <w:bottom w:w="100" w:type="dxa"/>
              <w:right w:w="100" w:type="dxa"/>
            </w:tcMar>
          </w:tcPr>
          <w:p w14:paraId="7A9E8E3C" w14:textId="77777777" w:rsidR="0088264B"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Não foi encontrada nenhuma foto do autor.</w:t>
            </w:r>
          </w:p>
        </w:tc>
      </w:tr>
      <w:tr w:rsidR="0088264B" w14:paraId="4C812574" w14:textId="77777777">
        <w:trPr>
          <w:trHeight w:val="17"/>
        </w:trPr>
        <w:tc>
          <w:tcPr>
            <w:tcW w:w="10065" w:type="dxa"/>
            <w:gridSpan w:val="3"/>
            <w:tcBorders>
              <w:bottom w:val="single" w:sz="4" w:space="0" w:color="000000"/>
            </w:tcBorders>
            <w:shd w:val="clear" w:color="auto" w:fill="93CDDC"/>
            <w:tcMar>
              <w:top w:w="100" w:type="dxa"/>
              <w:left w:w="100" w:type="dxa"/>
              <w:bottom w:w="100" w:type="dxa"/>
              <w:right w:w="100" w:type="dxa"/>
            </w:tcMar>
          </w:tcPr>
          <w:p w14:paraId="7A87F2F9"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Localização da foto na web</w:t>
            </w:r>
          </w:p>
        </w:tc>
      </w:tr>
      <w:tr w:rsidR="0088264B" w14:paraId="78DA5181" w14:textId="77777777">
        <w:trPr>
          <w:trHeight w:val="17"/>
        </w:trPr>
        <w:tc>
          <w:tcPr>
            <w:tcW w:w="10065" w:type="dxa"/>
            <w:gridSpan w:val="3"/>
            <w:tcBorders>
              <w:top w:val="single" w:sz="4" w:space="0" w:color="000000"/>
            </w:tcBorders>
            <w:tcMar>
              <w:top w:w="100" w:type="dxa"/>
              <w:left w:w="100" w:type="dxa"/>
              <w:bottom w:w="100" w:type="dxa"/>
              <w:right w:w="100" w:type="dxa"/>
            </w:tcMar>
          </w:tcPr>
          <w:p w14:paraId="1186BBAB" w14:textId="77777777" w:rsidR="0088264B" w:rsidRDefault="0088264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tc>
      </w:tr>
      <w:tr w:rsidR="0088264B" w14:paraId="42411C52" w14:textId="77777777">
        <w:trPr>
          <w:trHeight w:val="317"/>
        </w:trPr>
        <w:tc>
          <w:tcPr>
            <w:tcW w:w="10065" w:type="dxa"/>
            <w:gridSpan w:val="3"/>
            <w:shd w:val="clear" w:color="auto" w:fill="93CDDC"/>
            <w:tcMar>
              <w:top w:w="100" w:type="dxa"/>
              <w:left w:w="100" w:type="dxa"/>
              <w:bottom w:w="100" w:type="dxa"/>
              <w:right w:w="100" w:type="dxa"/>
            </w:tcMar>
          </w:tcPr>
          <w:p w14:paraId="6A75BF84"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Localização da obra no acervo</w:t>
            </w:r>
          </w:p>
        </w:tc>
      </w:tr>
      <w:tr w:rsidR="0088264B" w14:paraId="283E10EE" w14:textId="77777777">
        <w:trPr>
          <w:trHeight w:val="17"/>
        </w:trPr>
        <w:tc>
          <w:tcPr>
            <w:tcW w:w="10065" w:type="dxa"/>
            <w:gridSpan w:val="3"/>
            <w:tcMar>
              <w:top w:w="100" w:type="dxa"/>
              <w:left w:w="100" w:type="dxa"/>
              <w:bottom w:w="100" w:type="dxa"/>
              <w:right w:w="100" w:type="dxa"/>
            </w:tcMar>
          </w:tcPr>
          <w:p w14:paraId="56E848CF" w14:textId="77777777" w:rsidR="0088264B"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Acervo Mugra</w:t>
            </w:r>
          </w:p>
        </w:tc>
      </w:tr>
      <w:tr w:rsidR="0088264B" w14:paraId="087F0F4C" w14:textId="77777777">
        <w:trPr>
          <w:trHeight w:val="17"/>
        </w:trPr>
        <w:tc>
          <w:tcPr>
            <w:tcW w:w="10065" w:type="dxa"/>
            <w:gridSpan w:val="3"/>
            <w:shd w:val="clear" w:color="auto" w:fill="93CDDC"/>
            <w:tcMar>
              <w:top w:w="100" w:type="dxa"/>
              <w:left w:w="100" w:type="dxa"/>
              <w:bottom w:w="100" w:type="dxa"/>
              <w:right w:w="100" w:type="dxa"/>
            </w:tcMar>
          </w:tcPr>
          <w:p w14:paraId="701C4B3B"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r>
              <w:rPr>
                <w:rFonts w:ascii="Times New Roman" w:eastAsia="Times New Roman" w:hAnsi="Times New Roman" w:cs="Times New Roman"/>
                <w:b/>
                <w:sz w:val="24"/>
                <w:szCs w:val="24"/>
              </w:rPr>
              <w:t>Referências</w:t>
            </w:r>
          </w:p>
        </w:tc>
      </w:tr>
      <w:tr w:rsidR="0088264B" w14:paraId="13C461F0" w14:textId="77777777">
        <w:trPr>
          <w:trHeight w:val="17"/>
        </w:trPr>
        <w:tc>
          <w:tcPr>
            <w:tcW w:w="10065" w:type="dxa"/>
            <w:gridSpan w:val="3"/>
            <w:tcMar>
              <w:top w:w="100" w:type="dxa"/>
              <w:left w:w="100" w:type="dxa"/>
              <w:bottom w:w="100" w:type="dxa"/>
              <w:right w:w="100" w:type="dxa"/>
            </w:tcMar>
          </w:tcPr>
          <w:p w14:paraId="0D7A89A4" w14:textId="77777777" w:rsidR="0088264B"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BIBLIOHÈQUE NATIONALE DE FRANCE. Disponível em: https://catalogue.bnf.fr/ark:/12148/cb102614483. Acesso em: 13 jun 2025.</w:t>
            </w:r>
          </w:p>
          <w:p w14:paraId="30FF0071" w14:textId="77777777" w:rsidR="0088264B"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mallCaps/>
                <w:color w:val="000000"/>
                <w:sz w:val="24"/>
                <w:szCs w:val="24"/>
              </w:rPr>
              <w:t>BARGALLÓ ESCRIVÀ</w:t>
            </w:r>
            <w:r>
              <w:rPr>
                <w:rFonts w:ascii="Times New Roman" w:eastAsia="Times New Roman" w:hAnsi="Times New Roman" w:cs="Times New Roman"/>
                <w:color w:val="000000"/>
                <w:sz w:val="24"/>
                <w:szCs w:val="24"/>
              </w:rPr>
              <w:t>, Maria. El análisis en la enseñanza de la gramática a principios del siglo XX:</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una estrategia didáctica en evolución.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Ianua. Revista Philologica Romanica</w:t>
            </w:r>
            <w:r>
              <w:rPr>
                <w:rFonts w:ascii="Times New Roman" w:eastAsia="Times New Roman" w:hAnsi="Times New Roman" w:cs="Times New Roman"/>
                <w:color w:val="000000"/>
                <w:sz w:val="24"/>
                <w:szCs w:val="24"/>
              </w:rPr>
              <w:t xml:space="preserve">, n. </w:t>
            </w:r>
            <w:r>
              <w:rPr>
                <w:rFonts w:ascii="Times New Roman" w:eastAsia="Times New Roman" w:hAnsi="Times New Roman" w:cs="Times New Roman"/>
                <w:color w:val="000000"/>
                <w:sz w:val="24"/>
                <w:szCs w:val="24"/>
              </w:rPr>
              <w:lastRenderedPageBreak/>
              <w:t>15-16, (2015). p. 121-138. Disponível em: https://dialnet.unirioja.es/servlet/articulo?codigo=6318344 . Acesso em: 22 maio 2025.</w:t>
            </w:r>
          </w:p>
          <w:p w14:paraId="41C0BACE" w14:textId="77777777" w:rsidR="0088264B"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mallCaps/>
                <w:color w:val="000000"/>
                <w:sz w:val="24"/>
                <w:szCs w:val="24"/>
              </w:rPr>
              <w:t>CYPRIEN AYER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Wikipedia – L’encyclopédie libre. Disponível em:  https://fr.wikipedia.org/wiki/Cyprien_Ayer. Acesso em: 13 jun 2025.</w:t>
            </w:r>
          </w:p>
          <w:p w14:paraId="19CB3CD1" w14:textId="77777777" w:rsidR="0088264B"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IDENTIFIANTS ET RÉFÉRENTIELS. Disponível em: https://www.idref.fr/030004985. Acesso em: 13 jun 2025.</w:t>
            </w:r>
          </w:p>
          <w:p w14:paraId="24E8D872" w14:textId="77777777" w:rsidR="0088264B"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PERSÉE. Disponível em: https://www.persee.fr/doc/inrp_0000-0000_2002_ant_17_1_7544. Acesso em: 13 jun 2025.</w:t>
            </w:r>
          </w:p>
        </w:tc>
      </w:tr>
      <w:tr w:rsidR="0088264B" w14:paraId="143C3DAD" w14:textId="77777777">
        <w:trPr>
          <w:trHeight w:val="17"/>
        </w:trPr>
        <w:tc>
          <w:tcPr>
            <w:tcW w:w="10065" w:type="dxa"/>
            <w:gridSpan w:val="3"/>
            <w:shd w:val="clear" w:color="auto" w:fill="93CDDC"/>
            <w:tcMar>
              <w:top w:w="100" w:type="dxa"/>
              <w:left w:w="100" w:type="dxa"/>
              <w:bottom w:w="100" w:type="dxa"/>
              <w:right w:w="100" w:type="dxa"/>
            </w:tcMar>
          </w:tcPr>
          <w:p w14:paraId="6FEDE377" w14:textId="77777777" w:rsidR="0088264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Referência bibliográfica do item no acervo</w:t>
            </w:r>
          </w:p>
        </w:tc>
      </w:tr>
      <w:tr w:rsidR="0088264B" w14:paraId="133C0692" w14:textId="77777777">
        <w:trPr>
          <w:trHeight w:val="17"/>
        </w:trPr>
        <w:tc>
          <w:tcPr>
            <w:tcW w:w="10065" w:type="dxa"/>
            <w:gridSpan w:val="3"/>
            <w:tcBorders>
              <w:bottom w:val="single" w:sz="4" w:space="0" w:color="000000"/>
            </w:tcBorders>
            <w:tcMar>
              <w:top w:w="100" w:type="dxa"/>
              <w:left w:w="100" w:type="dxa"/>
              <w:bottom w:w="100" w:type="dxa"/>
              <w:right w:w="100" w:type="dxa"/>
            </w:tcMar>
          </w:tcPr>
          <w:p w14:paraId="6616C979" w14:textId="77777777" w:rsidR="0088264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AYER</w:t>
            </w:r>
            <w:r>
              <w:rPr>
                <w:rFonts w:ascii="Times New Roman" w:eastAsia="Times New Roman" w:hAnsi="Times New Roman" w:cs="Times New Roman"/>
                <w:sz w:val="24"/>
                <w:szCs w:val="24"/>
              </w:rPr>
              <w:t xml:space="preserve">, Cyprien. </w:t>
            </w:r>
            <w:r>
              <w:rPr>
                <w:rFonts w:ascii="Times New Roman" w:eastAsia="Times New Roman" w:hAnsi="Times New Roman" w:cs="Times New Roman"/>
                <w:b/>
                <w:sz w:val="24"/>
                <w:szCs w:val="24"/>
              </w:rPr>
              <w:t>Grammaire Comparée de la Langue Française</w:t>
            </w:r>
            <w:r>
              <w:rPr>
                <w:rFonts w:ascii="Times New Roman" w:eastAsia="Times New Roman" w:hAnsi="Times New Roman" w:cs="Times New Roman"/>
                <w:sz w:val="24"/>
                <w:szCs w:val="24"/>
              </w:rPr>
              <w:t>. 4e ed. Paris: H. Georg, Libraire-Éditeur, 1885.</w:t>
            </w:r>
          </w:p>
        </w:tc>
      </w:tr>
    </w:tbl>
    <w:p w14:paraId="00D4B9D4" w14:textId="77777777" w:rsidR="0088264B" w:rsidRDefault="0088264B">
      <w:pPr>
        <w:spacing w:line="240" w:lineRule="auto"/>
      </w:pPr>
    </w:p>
    <w:sectPr w:rsidR="0088264B">
      <w:headerReference w:type="default" r:id="rId9"/>
      <w:footerReference w:type="even" r:id="rId10"/>
      <w:footerReference w:type="default" r:id="rId11"/>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AF800" w14:textId="77777777" w:rsidR="00873D7A" w:rsidRDefault="00873D7A">
      <w:pPr>
        <w:spacing w:line="240" w:lineRule="auto"/>
      </w:pPr>
      <w:r>
        <w:separator/>
      </w:r>
    </w:p>
  </w:endnote>
  <w:endnote w:type="continuationSeparator" w:id="0">
    <w:p w14:paraId="5F2D44C2" w14:textId="77777777" w:rsidR="00873D7A" w:rsidRDefault="00873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78470A6-8D28-0A4F-9069-AC3F0BB815BA}"/>
  </w:font>
  <w:font w:name="Courier New">
    <w:panose1 w:val="02070309020205020404"/>
    <w:charset w:val="00"/>
    <w:family w:val="modern"/>
    <w:pitch w:val="fixed"/>
    <w:sig w:usb0="E0002AFF" w:usb1="C0007843" w:usb2="00000009" w:usb3="00000000" w:csb0="000001FF" w:csb1="00000000"/>
    <w:embedRegular r:id="rId2" w:fontKey="{39F3CD7B-CA62-5546-A24A-5CF7CF7E808C}"/>
  </w:font>
  <w:font w:name="Times New Roman">
    <w:panose1 w:val="02020603050405020304"/>
    <w:charset w:val="00"/>
    <w:family w:val="roman"/>
    <w:pitch w:val="variable"/>
    <w:sig w:usb0="E0002EFF" w:usb1="C000785B" w:usb2="00000009" w:usb3="00000000" w:csb0="000001FF" w:csb1="00000000"/>
    <w:embedRegular r:id="rId3" w:fontKey="{55BC5194-6358-224C-8C0B-B26FD872E3A5}"/>
    <w:embedBold r:id="rId4" w:fontKey="{27A960CB-EB79-1E43-B3E7-99D0B5EE71F4}"/>
    <w:embedItalic r:id="rId5" w:fontKey="{157B4319-FD9A-7E4E-A43A-21AAC06BD019}"/>
  </w:font>
  <w:font w:name="Arial">
    <w:panose1 w:val="020B0604020202020204"/>
    <w:charset w:val="00"/>
    <w:family w:val="swiss"/>
    <w:pitch w:val="variable"/>
    <w:sig w:usb0="E0002AFF" w:usb1="C0007843" w:usb2="00000009" w:usb3="00000000" w:csb0="000001FF" w:csb1="00000000"/>
    <w:embedRegular r:id="rId6" w:fontKey="{2E26E518-2B2E-0F48-B4B3-D022AB679385}"/>
    <w:embedItalic r:id="rId7" w:fontKey="{1FC07194-B927-2242-B051-9651AB077466}"/>
  </w:font>
  <w:font w:name="Calibri">
    <w:panose1 w:val="020F0502020204030204"/>
    <w:charset w:val="00"/>
    <w:family w:val="swiss"/>
    <w:pitch w:val="variable"/>
    <w:sig w:usb0="E0002AFF" w:usb1="C000247B" w:usb2="00000009" w:usb3="00000000" w:csb0="000001FF" w:csb1="00000000"/>
    <w:embedRegular r:id="rId8" w:fontKey="{6C62F2A5-318E-5F4C-8BDE-BB584E7FA5B0}"/>
  </w:font>
  <w:font w:name="Cambria">
    <w:panose1 w:val="02040503050406030204"/>
    <w:charset w:val="00"/>
    <w:family w:val="roman"/>
    <w:pitch w:val="variable"/>
    <w:sig w:usb0="E00002FF" w:usb1="400004FF" w:usb2="00000000" w:usb3="00000000" w:csb0="0000019F" w:csb1="00000000"/>
    <w:embedRegular r:id="rId9" w:fontKey="{3523DD59-9503-9A46-A8A8-623918FFE8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15E31" w14:textId="77777777" w:rsidR="0088264B"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9778B8" w14:textId="77777777" w:rsidR="0088264B" w:rsidRDefault="0088264B">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7F4D" w14:textId="77777777" w:rsidR="0088264B"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EA2124">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63059845" w14:textId="77777777" w:rsidR="0088264B" w:rsidRDefault="0088264B">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B0F74" w14:textId="77777777" w:rsidR="00873D7A" w:rsidRDefault="00873D7A">
      <w:pPr>
        <w:spacing w:line="240" w:lineRule="auto"/>
      </w:pPr>
      <w:r>
        <w:separator/>
      </w:r>
    </w:p>
  </w:footnote>
  <w:footnote w:type="continuationSeparator" w:id="0">
    <w:p w14:paraId="3FB29336" w14:textId="77777777" w:rsidR="00873D7A" w:rsidRDefault="00873D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66E5" w14:textId="77777777" w:rsidR="0088264B"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74805CE8" wp14:editId="7B79137C">
          <wp:extent cx="1526843" cy="629067"/>
          <wp:effectExtent l="0" t="0" r="0" b="0"/>
          <wp:docPr id="2113390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762"/>
    <w:multiLevelType w:val="multilevel"/>
    <w:tmpl w:val="29085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C07CD2"/>
    <w:multiLevelType w:val="multilevel"/>
    <w:tmpl w:val="C04A6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625BF5"/>
    <w:multiLevelType w:val="multilevel"/>
    <w:tmpl w:val="06D68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621CF7"/>
    <w:multiLevelType w:val="multilevel"/>
    <w:tmpl w:val="D0888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A62BBA"/>
    <w:multiLevelType w:val="multilevel"/>
    <w:tmpl w:val="627C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5382901">
    <w:abstractNumId w:val="0"/>
  </w:num>
  <w:num w:numId="2" w16cid:durableId="1250508875">
    <w:abstractNumId w:val="3"/>
  </w:num>
  <w:num w:numId="3" w16cid:durableId="2010401557">
    <w:abstractNumId w:val="2"/>
  </w:num>
  <w:num w:numId="4" w16cid:durableId="1311248506">
    <w:abstractNumId w:val="1"/>
  </w:num>
  <w:num w:numId="5" w16cid:durableId="1192997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64B"/>
    <w:rsid w:val="00873D7A"/>
    <w:rsid w:val="0088264B"/>
    <w:rsid w:val="00954D31"/>
    <w:rsid w:val="00A045A5"/>
    <w:rsid w:val="00D55C07"/>
    <w:rsid w:val="00EA21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2C1C9D"/>
  <w15:docId w15:val="{5B1AB78E-0310-3941-9E74-131BD9AC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8C42C6"/>
    <w:rPr>
      <w:color w:val="0000FF" w:themeColor="hyperlink"/>
      <w:u w:val="single"/>
    </w:rPr>
  </w:style>
  <w:style w:type="character" w:styleId="MenoPendente">
    <w:name w:val="Unresolved Mention"/>
    <w:basedOn w:val="Fontepargpadro"/>
    <w:uiPriority w:val="99"/>
    <w:semiHidden/>
    <w:unhideWhenUsed/>
    <w:rsid w:val="008C42C6"/>
    <w:rPr>
      <w:color w:val="605E5C"/>
      <w:shd w:val="clear" w:color="auto" w:fill="E1DFDD"/>
    </w:r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827DF2"/>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826Y12X8B08KovWq8RUrh28Jw==">CgMxLjA4AHIhMXl5bmFPYmtfSkJUYWlUa2NUZlFHNVlGbHlYcUJWUmZE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1400</Words>
  <Characters>7565</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Nunes</dc:creator>
  <cp:lastModifiedBy>Leandro Silveira de Araujo</cp:lastModifiedBy>
  <cp:revision>3</cp:revision>
  <dcterms:created xsi:type="dcterms:W3CDTF">2025-07-13T13:51:00Z</dcterms:created>
  <dcterms:modified xsi:type="dcterms:W3CDTF">2025-11-03T00:51:00Z</dcterms:modified>
</cp:coreProperties>
</file>